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0260"/>
          </w:cols>
          <w:pgMar w:left="320" w:top="225" w:right="1319" w:bottom="1440" w:gutter="0" w:footer="0" w:header="0"/>
        </w:sectPr>
      </w:pPr>
    </w:p>
    <w:p>
      <w:pPr>
        <w:spacing w:after="0" w:line="370" w:lineRule="exact"/>
        <w:rPr>
          <w:sz w:val="24"/>
          <w:szCs w:val="24"/>
          <w:color w:val="auto"/>
        </w:rPr>
      </w:pPr>
    </w:p>
    <w:tbl>
      <w:tblPr>
        <w:tblLayout w:type="fixed"/>
        <w:tblInd w:w="120" w:type="dxa"/>
        <w:tblCellMar>
          <w:top w:w="0" w:type="dxa"/>
          <w:left w:w="0" w:type="dxa"/>
          <w:bottom w:w="0" w:type="dxa"/>
          <w:right w:w="0" w:type="dxa"/>
        </w:tblCellMar>
      </w:tblPr>
      <w:tr>
        <w:trPr>
          <w:trHeight w:val="3116"/>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statement relating to these securities has</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sell these securities and are not soliciting</w:t>
            </w:r>
          </w:p>
        </w:tc>
      </w:tr>
      <w:tr>
        <w:trPr>
          <w:trHeight w:val="112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8"/>
              </w:rPr>
              <w:t>A registration</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not an offer to</w:t>
            </w:r>
          </w:p>
        </w:tc>
      </w:tr>
      <w:tr>
        <w:trPr>
          <w:trHeight w:val="7444"/>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information in this preliminary prospectus supplement is not complete and may be changed.</w:t>
            </w:r>
          </w:p>
        </w:tc>
        <w:tc>
          <w:tcPr>
            <w:tcW w:w="420" w:type="dxa"/>
            <w:vAlign w:val="bottom"/>
            <w:textDirection w:val="btLr"/>
          </w:tcPr>
          <w:p>
            <w:pPr>
              <w:ind w:left="271"/>
              <w:spacing w:after="0"/>
              <w:rPr>
                <w:sz w:val="20"/>
                <w:szCs w:val="20"/>
                <w:color w:val="auto"/>
              </w:rPr>
            </w:pPr>
            <w:r>
              <w:rPr>
                <w:rFonts w:ascii="Times New Roman" w:cs="Times New Roman" w:eastAsia="Times New Roman" w:hAnsi="Times New Roman"/>
                <w:sz w:val="13"/>
                <w:szCs w:val="13"/>
                <w:b w:val="1"/>
                <w:bCs w:val="1"/>
                <w:color w:val="FF4338"/>
                <w:w w:val="75"/>
              </w:rPr>
              <w:t>become effective. This preliminary prospectus supplement and the accompanying prospectus areanoffertobuythesesecuritiesinanyjurisdictionwheretheofferorsaleisnotpermitted.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333-281614-02</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1, 2025</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August 16, 2024)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Kansas Central, Inc.</w:t>
      </w:r>
    </w:p>
    <w:p>
      <w:pPr>
        <w:spacing w:after="0" w:line="136"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25"/>
          <w:szCs w:val="25"/>
          <w:b w:val="1"/>
          <w:bCs w:val="1"/>
          <w:color w:val="auto"/>
        </w:rPr>
        <w:t>$            First Mortgage Bonds, 5.25% Series due 2035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178435</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5" w:lineRule="exact"/>
        <w:rPr>
          <w:sz w:val="24"/>
          <w:szCs w:val="24"/>
          <w:color w:val="auto"/>
        </w:rPr>
      </w:pPr>
    </w:p>
    <w:p>
      <w:pPr>
        <w:ind w:firstLine="371"/>
        <w:spacing w:after="0" w:line="254" w:lineRule="auto"/>
        <w:rPr>
          <w:sz w:val="20"/>
          <w:szCs w:val="20"/>
          <w:color w:val="auto"/>
        </w:rPr>
      </w:pPr>
      <w:r>
        <w:rPr>
          <w:rFonts w:ascii="Times New Roman" w:cs="Times New Roman" w:eastAsia="Times New Roman" w:hAnsi="Times New Roman"/>
          <w:sz w:val="18"/>
          <w:szCs w:val="18"/>
          <w:color w:val="auto"/>
        </w:rPr>
        <w:t>Evergy Kansas Central, Inc. is offering $        aggregate principal amount of First Mortgage Bonds, 5.25% Series due 2035 (the “bonds”). The bonds will constitute an additional issuance of our First Mortgage Bonds, 5.25% Series due 2035 issued on March 13, 2025 in an aggregate principal amount of $300,000,000 (the “existing bonds”), which were offered by a prospectus supplement dated March 6, 2025, and will form a single series with the existing bonds. The bonds will have terms identical to the existing bonds, other than the date of issuance, the first interest accrual date, the first interest payment date and the initial price to the public, will have the same CUSIP number and will trade interchangeably with the existing bonds immediately upon settlement. Upon the issuance of the bonds, the aggregate principal amount of outstanding bonds of this series (including the existing bonds) will be $        .</w:t>
      </w:r>
    </w:p>
    <w:p>
      <w:pPr>
        <w:spacing w:after="0" w:line="84" w:lineRule="exact"/>
        <w:rPr>
          <w:sz w:val="24"/>
          <w:szCs w:val="24"/>
          <w:color w:val="auto"/>
        </w:rPr>
      </w:pPr>
    </w:p>
    <w:p>
      <w:pPr>
        <w:ind w:right="40" w:firstLine="371"/>
        <w:spacing w:after="0" w:line="258" w:lineRule="auto"/>
        <w:rPr>
          <w:sz w:val="20"/>
          <w:szCs w:val="20"/>
          <w:color w:val="auto"/>
        </w:rPr>
      </w:pPr>
      <w:r>
        <w:rPr>
          <w:rFonts w:ascii="Times New Roman" w:cs="Times New Roman" w:eastAsia="Times New Roman" w:hAnsi="Times New Roman"/>
          <w:sz w:val="18"/>
          <w:szCs w:val="18"/>
          <w:color w:val="auto"/>
        </w:rPr>
        <w:t>The bonds will bear interest at a rate of 5.25% per year and will mature on March 15, 2035. Interest on the bonds will accrue from September 15, 2025 (which is the most recent date to which interest has been paid on the existing bonds), which we refer to as “pre-issuance accrued interest” herein. We will pay interest on the bonds semi-annually in arrears on March 15 and September 15 of each year, beginning on March 15, 2026. We may redeem the bonds at our option, in whole or in part, at any time and from time to time, at the applicable redemption price specified in this prospectus supplement.</w:t>
      </w:r>
    </w:p>
    <w:p>
      <w:pPr>
        <w:spacing w:after="0" w:line="75" w:lineRule="exact"/>
        <w:rPr>
          <w:sz w:val="24"/>
          <w:szCs w:val="24"/>
          <w:color w:val="auto"/>
        </w:rPr>
      </w:pPr>
    </w:p>
    <w:p>
      <w:pPr>
        <w:ind w:right="100" w:firstLine="371"/>
        <w:spacing w:after="0" w:line="261" w:lineRule="auto"/>
        <w:rPr>
          <w:sz w:val="20"/>
          <w:szCs w:val="20"/>
          <w:color w:val="auto"/>
        </w:rPr>
      </w:pPr>
      <w:r>
        <w:rPr>
          <w:rFonts w:ascii="Times New Roman" w:cs="Times New Roman" w:eastAsia="Times New Roman" w:hAnsi="Times New Roman"/>
          <w:sz w:val="18"/>
          <w:szCs w:val="18"/>
          <w:color w:val="auto"/>
        </w:rPr>
        <w:t>The bonds will be our secured obligations, equal in right of payment to all other debt currently outstanding or hereafter issued under the mortgage (as defined herein). The mortgage prohibits us from incurring other debt senior or equal to the bonds offered hereby unless certain tests are met. The bonds will be structurally subordinated to the debt of our subsidiaries. See “Description of the Bonds—Ranking” in this prospectus supplement.</w:t>
      </w:r>
    </w:p>
    <w:p>
      <w:pPr>
        <w:spacing w:after="0" w:line="72" w:lineRule="exact"/>
        <w:rPr>
          <w:sz w:val="24"/>
          <w:szCs w:val="24"/>
          <w:color w:val="auto"/>
        </w:rPr>
      </w:pPr>
    </w:p>
    <w:p>
      <w:pPr>
        <w:ind w:right="180" w:firstLine="371"/>
        <w:spacing w:after="0" w:line="282" w:lineRule="auto"/>
        <w:rPr>
          <w:sz w:val="20"/>
          <w:szCs w:val="20"/>
          <w:color w:val="auto"/>
        </w:rPr>
      </w:pPr>
      <w:r>
        <w:rPr>
          <w:rFonts w:ascii="Times New Roman" w:cs="Times New Roman" w:eastAsia="Times New Roman" w:hAnsi="Times New Roman"/>
          <w:sz w:val="18"/>
          <w:szCs w:val="18"/>
          <w:color w:val="auto"/>
        </w:rPr>
        <w:t>The bonds will not be listed on any securities exchange or included in any automated dealer quotation system. The bonds will be issued in minimum denominations of $2,000 and in integral multiples of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122555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3" w:lineRule="exact"/>
        <w:rPr>
          <w:sz w:val="24"/>
          <w:szCs w:val="24"/>
          <w:color w:val="auto"/>
        </w:rPr>
      </w:pPr>
    </w:p>
    <w:p>
      <w:pPr>
        <w:jc w:val="both"/>
        <w:ind w:right="240" w:firstLine="371"/>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 bonds involves risks that are described in the sections entitled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beginning on page S-11 of this prospectus supplement and page 5 of the accompanying prospectus.</w:t>
      </w:r>
    </w:p>
    <w:p>
      <w:pPr>
        <w:spacing w:after="0" w:line="26"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gridSpan w:val="4"/>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Price to the</w:t>
            </w:r>
          </w:p>
        </w:tc>
        <w:tc>
          <w:tcPr>
            <w:tcW w:w="16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260" w:type="dxa"/>
            <w:vAlign w:val="bottom"/>
            <w:gridSpan w:val="5"/>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Evergy Kansas Central,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Public(1)</w:t>
            </w:r>
          </w:p>
        </w:tc>
        <w:tc>
          <w:tcPr>
            <w:tcW w:w="340" w:type="dxa"/>
            <w:vAlign w:val="bottom"/>
          </w:tcPr>
          <w:p>
            <w:pPr>
              <w:spacing w:after="0"/>
              <w:rPr>
                <w:sz w:val="15"/>
                <w:szCs w:val="15"/>
                <w:color w:val="auto"/>
              </w:rPr>
            </w:pPr>
          </w:p>
        </w:tc>
        <w:tc>
          <w:tcPr>
            <w:tcW w:w="132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bond</w:t>
            </w:r>
          </w:p>
        </w:tc>
        <w:tc>
          <w:tcPr>
            <w:tcW w:w="1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 </w:t>
            </w:r>
          </w:p>
        </w:tc>
        <w:tc>
          <w:tcPr>
            <w:tcW w:w="460" w:type="dxa"/>
            <w:vAlign w:val="bottom"/>
            <w:tcBorders>
              <w:top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 </w:t>
            </w:r>
          </w:p>
        </w:tc>
        <w:tc>
          <w:tcPr>
            <w:tcW w:w="48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tcPr>
          <w:p>
            <w:pPr>
              <w:jc w:val="right"/>
              <w:ind w:right="550"/>
              <w:spacing w:after="0"/>
              <w:rPr>
                <w:sz w:val="20"/>
                <w:szCs w:val="20"/>
                <w:color w:val="auto"/>
              </w:rPr>
            </w:pPr>
            <w:r>
              <w:rPr>
                <w:rFonts w:ascii="Times New Roman" w:cs="Times New Roman" w:eastAsia="Times New Roman" w:hAnsi="Times New Roman"/>
                <w:sz w:val="11"/>
                <w:szCs w:val="11"/>
                <w:color w:val="auto"/>
                <w:w w:val="72"/>
              </w:rPr>
              <w:t> </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gridSpan w:val="2"/>
          </w:tcPr>
          <w:p>
            <w:pPr>
              <w:jc w:val="right"/>
              <w:ind w:right="570"/>
              <w:spacing w:after="0"/>
              <w:rPr>
                <w:sz w:val="20"/>
                <w:szCs w:val="20"/>
                <w:color w:val="auto"/>
              </w:rPr>
            </w:pPr>
            <w:r>
              <w:rPr>
                <w:rFonts w:ascii="Times New Roman" w:cs="Times New Roman" w:eastAsia="Times New Roman" w:hAnsi="Times New Roman"/>
                <w:sz w:val="11"/>
                <w:szCs w:val="11"/>
                <w:color w:val="auto"/>
                <w:w w:val="72"/>
              </w:rPr>
              <w:t> </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tcPr>
          <w:p>
            <w:pPr>
              <w:jc w:val="right"/>
              <w:ind w:right="290"/>
              <w:spacing w:after="0"/>
              <w:rPr>
                <w:sz w:val="20"/>
                <w:szCs w:val="20"/>
                <w:color w:val="auto"/>
              </w:rPr>
            </w:pPr>
            <w:r>
              <w:rPr>
                <w:rFonts w:ascii="Times New Roman" w:cs="Times New Roman" w:eastAsia="Times New Roman" w:hAnsi="Times New Roman"/>
                <w:sz w:val="11"/>
                <w:szCs w:val="11"/>
                <w:color w:val="auto"/>
                <w:w w:val="72"/>
              </w:rPr>
              <w:t>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51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32" w:lineRule="exact"/>
        <w:rPr>
          <w:sz w:val="24"/>
          <w:szCs w:val="24"/>
          <w:color w:val="auto"/>
        </w:rPr>
      </w:pPr>
    </w:p>
    <w:p>
      <w:pPr>
        <w:ind w:left="360" w:right="140" w:hanging="360"/>
        <w:spacing w:after="0" w:line="266"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pre-issuance accrued interest from September 15, 2025 (which is the most recent date to which interest has been paid on the existing bonds) to, but excluding, the settlement date, which must be paid by the purchasers of the bonds offered hereby. The total amount of such interest on December  , 2025 will be $        .</w:t>
      </w:r>
    </w:p>
    <w:p>
      <w:pPr>
        <w:spacing w:after="0" w:line="64" w:lineRule="exact"/>
        <w:rPr>
          <w:sz w:val="24"/>
          <w:szCs w:val="24"/>
          <w:color w:val="auto"/>
        </w:rPr>
      </w:pPr>
    </w:p>
    <w:p>
      <w:pPr>
        <w:jc w:val="both"/>
        <w:ind w:right="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7" w:lineRule="exact"/>
        <w:rPr>
          <w:sz w:val="24"/>
          <w:szCs w:val="24"/>
          <w:color w:val="auto"/>
        </w:rPr>
      </w:pPr>
    </w:p>
    <w:p>
      <w:pPr>
        <w:jc w:val="both"/>
        <w:ind w:right="180" w:firstLine="371"/>
        <w:spacing w:after="0" w:line="266" w:lineRule="auto"/>
        <w:rPr>
          <w:sz w:val="20"/>
          <w:szCs w:val="20"/>
          <w:color w:val="auto"/>
        </w:rPr>
      </w:pPr>
      <w:r>
        <w:rPr>
          <w:rFonts w:ascii="Times New Roman" w:cs="Times New Roman" w:eastAsia="Times New Roman" w:hAnsi="Times New Roman"/>
          <w:sz w:val="18"/>
          <w:szCs w:val="18"/>
          <w:color w:val="auto"/>
        </w:rPr>
        <w:t>The bonds will be ready for delivery in book-entry form only through the facilities of The Depository Trust Company for the accounts of its participants, including Clearstream Banking S.A. and Euroclear Bank SA/NV, as operator of the Euroclear System, on or about December 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140335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1" w:lineRule="exact"/>
        <w:rPr>
          <w:sz w:val="24"/>
          <w:szCs w:val="24"/>
          <w:color w:val="auto"/>
        </w:rPr>
      </w:pPr>
    </w:p>
    <w:p>
      <w:pPr>
        <w:sectPr>
          <w:pgSz w:w="11900" w:h="16838" w:orient="portrait"/>
          <w:cols w:equalWidth="0" w:num="2">
            <w:col w:w="720" w:space="260"/>
            <w:col w:w="9280"/>
          </w:cols>
          <w:pgMar w:left="320" w:top="225" w:right="1319" w:bottom="1440" w:gutter="0" w:footer="0" w:header="0"/>
          <w:type w:val="continuous"/>
        </w:sectPr>
      </w:pPr>
    </w:p>
    <w:p>
      <w:pPr>
        <w:jc w:val="center"/>
        <w:ind w:right="-979"/>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121" w:lineRule="exact"/>
        <w:rPr>
          <w:sz w:val="24"/>
          <w:szCs w:val="24"/>
          <w:color w:val="auto"/>
        </w:rPr>
      </w:pPr>
    </w:p>
    <w:p>
      <w:pPr>
        <w:ind w:left="980"/>
        <w:spacing w:after="0"/>
        <w:tabs>
          <w:tab w:leader="none" w:pos="4400" w:val="left"/>
          <w:tab w:leader="none" w:pos="6720" w:val="left"/>
          <w:tab w:leader="none" w:pos="8460" w:val="left"/>
        </w:tabs>
        <w:rPr>
          <w:sz w:val="20"/>
          <w:szCs w:val="20"/>
          <w:color w:val="auto"/>
        </w:rPr>
      </w:pPr>
      <w:r>
        <w:rPr>
          <w:rFonts w:ascii="Times New Roman" w:cs="Times New Roman" w:eastAsia="Times New Roman" w:hAnsi="Times New Roman"/>
          <w:sz w:val="18"/>
          <w:szCs w:val="18"/>
          <w:b w:val="1"/>
          <w:bCs w:val="1"/>
          <w:color w:val="auto"/>
        </w:rPr>
        <w:t>BNY Capital Markets</w:t>
      </w:r>
      <w:r>
        <w:rPr>
          <w:sz w:val="20"/>
          <w:szCs w:val="20"/>
          <w:color w:val="auto"/>
        </w:rPr>
        <w:tab/>
      </w:r>
      <w:r>
        <w:rPr>
          <w:rFonts w:ascii="Times New Roman" w:cs="Times New Roman" w:eastAsia="Times New Roman" w:hAnsi="Times New Roman"/>
          <w:sz w:val="18"/>
          <w:szCs w:val="18"/>
          <w:b w:val="1"/>
          <w:bCs w:val="1"/>
          <w:color w:val="auto"/>
        </w:rPr>
        <w:t>Regions Securities LLC</w:t>
      </w:r>
      <w:r>
        <w:rPr>
          <w:sz w:val="20"/>
          <w:szCs w:val="20"/>
          <w:color w:val="auto"/>
        </w:rPr>
        <w:tab/>
      </w:r>
      <w:r>
        <w:rPr>
          <w:rFonts w:ascii="Times New Roman" w:cs="Times New Roman" w:eastAsia="Times New Roman" w:hAnsi="Times New Roman"/>
          <w:sz w:val="18"/>
          <w:szCs w:val="18"/>
          <w:b w:val="1"/>
          <w:bCs w:val="1"/>
          <w:color w:val="auto"/>
        </w:rPr>
        <w:t>TD Securities</w:t>
      </w:r>
      <w:r>
        <w:rPr>
          <w:sz w:val="20"/>
          <w:szCs w:val="20"/>
          <w:color w:val="auto"/>
        </w:rPr>
        <w:tab/>
      </w:r>
      <w:r>
        <w:rPr>
          <w:rFonts w:ascii="Times New Roman" w:cs="Times New Roman" w:eastAsia="Times New Roman" w:hAnsi="Times New Roman"/>
          <w:sz w:val="17"/>
          <w:szCs w:val="17"/>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165735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260"/>
          </w:cols>
          <w:pgMar w:left="320" w:top="225" w:right="1319" w:bottom="1440" w:gutter="0" w:footer="0" w:header="0"/>
          <w:type w:val="continuous"/>
        </w:sectPr>
      </w:pPr>
    </w:p>
    <w:p>
      <w:pPr>
        <w:spacing w:after="0" w:line="36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color w:val="auto"/>
        </w:rPr>
        <w:t>Prospectus Supplement dated December   , 2025.</w:t>
      </w:r>
    </w:p>
    <w:p>
      <w:pPr>
        <w:sectPr>
          <w:pgSz w:w="11900" w:h="16838" w:orient="portrait"/>
          <w:cols w:equalWidth="0" w:num="1">
            <w:col w:w="10260"/>
          </w:cols>
          <w:pgMar w:left="320" w:top="225"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6"/>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2"/>
            <w:vMerge w:val="continue"/>
          </w:tcPr>
          <w:p>
            <w:pPr>
              <w:spacing w:after="0"/>
              <w:rPr>
                <w:sz w:val="14"/>
                <w:szCs w:val="14"/>
                <w:color w:val="auto"/>
              </w:rPr>
            </w:pPr>
          </w:p>
        </w:tc>
        <w:tc>
          <w:tcPr>
            <w:tcW w:w="7120" w:type="dxa"/>
            <w:vAlign w:val="bottom"/>
            <w:gridSpan w:val="6"/>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CAUTIONARY STATEMENTS REGARDING CERTAIN FORWARD-LOOKING INFORMATION</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304"/>
        </w:trPr>
        <w:tc>
          <w:tcPr>
            <w:tcW w:w="38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67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304"/>
        </w:trPr>
        <w:tc>
          <w:tcPr>
            <w:tcW w:w="32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7"/>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304"/>
        </w:trPr>
        <w:tc>
          <w:tcPr>
            <w:tcW w:w="2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THE BONDS</w:t>
            </w:r>
          </w:p>
        </w:tc>
        <w:tc>
          <w:tcPr>
            <w:tcW w:w="8060" w:type="dxa"/>
            <w:vAlign w:val="bottom"/>
            <w:gridSpan w:val="10"/>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304"/>
        </w:trPr>
        <w:tc>
          <w:tcPr>
            <w:tcW w:w="370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1160" w:type="dxa"/>
            <w:vAlign w:val="bottom"/>
            <w:tcBorders>
              <w:top w:val="single" w:sz="8" w:color="0000EE"/>
            </w:tcBorders>
            <w:gridSpan w:val="2"/>
          </w:tcPr>
          <w:p>
            <w:pPr>
              <w:spacing w:after="0"/>
              <w:rPr>
                <w:sz w:val="24"/>
                <w:szCs w:val="24"/>
                <w:color w:val="auto"/>
              </w:rPr>
            </w:pPr>
          </w:p>
        </w:tc>
        <w:tc>
          <w:tcPr>
            <w:tcW w:w="5700" w:type="dxa"/>
            <w:vAlign w:val="bottom"/>
            <w:gridSpan w:val="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304"/>
        </w:trPr>
        <w:tc>
          <w:tcPr>
            <w:tcW w:w="1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5"/>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18"/>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3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CAUTIONARY STATEMENTS REGARDING CERTAIN FORWARD-LOOKING INFORMATION</w:t>
            </w:r>
          </w:p>
        </w:tc>
        <w:tc>
          <w:tcPr>
            <w:tcW w:w="32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EVERGY KANSAS CENTRAL, INC.</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28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760" w:type="dxa"/>
            <w:vAlign w:val="bottom"/>
            <w:gridSpan w:val="9"/>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8"/>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DESCRIPTION OF FIRST MORTGAGE BONDS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9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BOOK-ENTRY SYSTEM</w:t>
            </w:r>
          </w:p>
        </w:tc>
        <w:tc>
          <w:tcPr>
            <w:tcW w:w="1760" w:type="dxa"/>
            <w:vAlign w:val="bottom"/>
            <w:tcBorders>
              <w:top w:val="single" w:sz="8" w:color="0000EE"/>
            </w:tcBorders>
            <w:gridSpan w:val="8"/>
          </w:tcPr>
          <w:p>
            <w:pPr>
              <w:spacing w:after="0"/>
              <w:rPr>
                <w:sz w:val="24"/>
                <w:szCs w:val="24"/>
                <w:color w:val="auto"/>
              </w:rPr>
            </w:pPr>
          </w:p>
        </w:tc>
        <w:tc>
          <w:tcPr>
            <w:tcW w:w="6880" w:type="dxa"/>
            <w:vAlign w:val="bottom"/>
            <w:gridSpan w:val="5"/>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8520" w:type="dxa"/>
            <w:vAlign w:val="bottom"/>
            <w:gridSpan w:val="1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800" w:type="dxa"/>
            <w:vAlign w:val="bottom"/>
            <w:gridSpan w:val="1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Times New Roman" w:cs="Times New Roman" w:eastAsia="Times New Roman" w:hAnsi="Times New Roman"/>
                <w:sz w:val="18"/>
                <w:szCs w:val="18"/>
                <w:color w:val="auto"/>
                <w:w w:val="78"/>
              </w:rPr>
              <w:t>i</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bonds offered hereby.</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expect to deliver the bonds against payment for the bonds on or about the date specified in the last paragraph of the cover page of this prospectus supplement, which will be the         business day following the date of this prospectus supplement (“T+  ”). Under Rule 15c6-1 under the Securities Exchange Act of 1934, as amended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T+  , to specify alternative settlement arrangements to prevent a failed settlement.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you invest in the bonds, you should carefully read the registration statement (including the exhibits thereto) of which this prospectus supplement and the accompanying prospectus form a part, this prospectus supplement, the accompanying prospectus and the documents incorporated by reference in this prospectus supplement. The incorporated documents are described in this prospectus supplement under “Where You Can Find More Information.”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bonds are not guaranteed by our parent company, Evergy, Inc. (“Evergy”) or any of its other or our subsidiaries. None of those entities has any obligation to make any capital contributions or distributions or to advance funds to us for the purpose of paying the principal of, or premium, if any, or interest on, the bonds or any other amount that may be required to be paid under the mortgage (as defined herein) or the bonds, preventing or curing an event of default under the terms of the mortgage, complying with any other obligation under the mortgage or the bonds or otherwise.</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or as otherwise indicated, when we refer to “Evergy Kansas Central, Inc.,” “Evergy Kansas Central,” the “Company,” “we,” “us” or “our” in this prospectus supplement or the accompanying prospectus or when we otherwise refer to ourselves herein or therein, we mean Evergy Kansas Central, Inc. and not any of its subsidiaries or other affiliates, unless the context clearly indicates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CAUTIONARY STATEMENTS REGARDING CERTAIN FORWARD-LOOKING INFORMATION</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Statements made in this prospectus supplement, the accompanying prospectus and the documents incorporated by reference herein as described under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weather conditions and any impact on sales, prices and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demand for electricity;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strategy or operations, including with respect to Evergy Kansas Central’s strategy to meet demand requirements of existing and future customers;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and local political, legislative, judicial and regulatory actions or developments, including deregulation, re-regulation, securitization and restructuring of the electric utility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(including tariffs and other trade measures) and responses from other countries;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or acquire generation, battery storage and transmission facilities to meet the future demand for electricity from customers;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control costs, avoid costs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w:t>
      </w:r>
    </w:p>
    <w:p>
      <w:pPr>
        <w:spacing w:after="0" w:line="88"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regulators regarding, among other things, customer rates and the prudency of operational decisions such as capital expenditures and asset retirements;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regulations, rules, principles or practices, or the interpretations thereof, governing tax, accounting and environmental matters, including air and water quality and waste management and disposal;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adoption and use of artificial intelligence by Evergy Kansas Central and its third-party vendors;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including increased frequency and severity of significant weather events;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potential wildfires, including costs of litigation, potential regulatory penalties and damages in excess of insurance liability coverage;</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counterparties are willing to do business with, finance the operations of or purchase energy from Evergy Kansas Central due to the fact that Evergy Kansas Central operates coal-fired generation;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and availability of electricity and natural gas in wholesale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energy industry and Evergy Kansas Central;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pandemic health events on, among other things, sales, results of operations, financial position, liquidity and cash flows, and also on operational issues, such as supply chain issues and the availability and ability of Evergy Kansas Central’s employees and suppliers to perform the functions that are necessary to operate Evergy Kansas Central;</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energy trading markets in which Evergy Kansas Central participates, including retroactive repricing of transactions by regional transmission organizations and independent system operators;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long-lived assets or goodwill;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risk management policies and procedures and the ability of counterparties to satisfy their contractual commitments;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physical and cybersecurity breaches, criminal activity, terrorist attacks, acts of war and other disruptions to Evergy Kansas Central’s facilities or information technology infrastructure or the facilities and infrastructure of third-party service providers on which Evergy Kansas Central relies;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geopolitical conflicts on the global energy market, including the ability to contract for non-Russian sourced uranium;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carry out marketing and sales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availability, quality and timely provision of equipment, supplies, labor and fuel;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generation goals and the occurrence and duration of planned and unplanned generation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 Kansas Central’s ability to manage its generation, transmission and distribution development plans and transmission joint ventures;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associated with the ownership and operation of a nuclear facility, including environmental, health, safety, regulatory and financial risks;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risks, including those related to Evergy Kansas Central’s ability to attract and retain qualified personnel, maintain satisfactory relationships with their labor unions and manage costs of, or changes in, wages, retirement, health care and other benefits;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costs and uncertainties caused by or related to the actions of individuals or entities, such as activist shareholders of our parent company or special interest groups, that seek to influence our strategic plan, financial results or operations;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expectations and demands of Evergy Kansas Central’s customers, regulators, investors and stakeholders, including differing views on environmental, social and governance concerns, which, among other things, could impact the trajectory of expected load growth;</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strategic initiatives, including mergers, acquisitions, joint ventures and divestitures, and long-term financial plans, may not create the value that they are expected to achieve in a timely manner or at 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relationships with customers, employees, contractors, regulators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involving Evergy Kansas Central;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Risk factors discussed under Item 1A of Part I of our Annual Report on Form 10-K for the year ended December 31, 2024, which is incorporated herein by reference, should be carefully read for further understanding of potential risks for Evergy Kansas Central. Other sections of our Annual Report on Form 10-K for the year ended December 31, 2024 and other reports filed by Evergy Kansas Central with the SEC should also be read for more information regarding risk factors. New factors emerge from time to time, and it’s not possible for Evergy Kansas Central to predict all such factors, nor can Evergy Kansas Central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Kansas Central undertakes no obligation to publicly update or revise any forward-looking statement, whether as a result of new information, future events or otherwise, except as required by law.</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through the SEC’s Electronic Data Gathering, Analysis and Retrieval system and these filings are publicly available through the SEC’s website (http://www.sec.gov).</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in this prospectus supplement will automatically update and supersede this information. We are incorporating by reference in this prospectus supplement the following documents that we have filed with the SEC and any subsequent filings we make with the SEC under Section 13(a), 13(c), 14 or 15(d) of the Exchange Act until this offering of the bonds is completed (except to the extent that any information contained in such filings is deemed “furnished” and not “filed” pursuant to Item 2.02 or Item 7.01 of any Current Report on Form 8-K and corresponding exhibits thereto or other applicable SEC rules):</w:t>
      </w:r>
    </w:p>
    <w:p>
      <w:pPr>
        <w:spacing w:after="0" w:line="9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26, 2025;</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20">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8, 2025, August 7, 2025 and November 6, 2025, respectively;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3">
        <w:r>
          <w:rPr>
            <w:rFonts w:ascii="Times New Roman" w:cs="Times New Roman" w:eastAsia="Times New Roman" w:hAnsi="Times New Roman"/>
            <w:sz w:val="18"/>
            <w:szCs w:val="18"/>
            <w:u w:val="single" w:color="auto"/>
            <w:color w:val="0000EE"/>
          </w:rPr>
          <w:t>March 13, 2025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27, 2025</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September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6">
        <w:r>
          <w:rPr>
            <w:rFonts w:ascii="Times New Roman" w:cs="Times New Roman" w:eastAsia="Times New Roman" w:hAnsi="Times New Roman"/>
            <w:sz w:val="18"/>
            <w:szCs w:val="18"/>
            <w:u w:val="single" w:color="auto"/>
            <w:color w:val="0000EE"/>
          </w:rPr>
          <w:t>November 25,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our parent company, Evergy, and another wholly owned subsidiary of Evergy, Evergy Metro, Inc. (“Evergy Metro”), separately filed the combined Annual Report on Form 10-K, the Quarterly Reports on Form 10-Q and, as applicable, the Current Reports on Form 8-K listed above. However, the information therein relating solely to our parent and its consolidated subsidiaries (other than Evergy Kansas Central and its consolidated subsidiaries), including Evergy Missouri West, Inc., was separately filed by Evergy on its behalf, the information therein relating solely to Evergy Metro and its subsidiaries was separately filed by Evergy Metro on its behalf and the information therein relating solely to Evergy Kansas Central and its consolidated subsidiaries was separately filed by us. We do not intend to incorporate by reference in this prospectus supplement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therein. The only information you should rely upon in determining whether to invest in the bonds offered hereby is the information of Evergy Kansas Central and its consolidated subsidiaries contained in this prospectus supplement and the accompanying prospectus, the information separately provided by Evergy Kansas Central and its consolidated subsidiaries in the documents incorporated by reference herein and any free writing prospectus used in connection with the offering of the bonds described in this prospectus supplement and the accompanying prospectus.</w:t>
      </w:r>
    </w:p>
    <w:p>
      <w:pPr>
        <w:spacing w:after="0" w:line="190" w:lineRule="exact"/>
        <w:rPr>
          <w:rFonts w:ascii="Times New Roman" w:cs="Times New Roman" w:eastAsia="Times New Roman" w:hAnsi="Times New Roman"/>
          <w:sz w:val="18"/>
          <w:szCs w:val="18"/>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Our parent’s website is www.evergy.com. Information contained on our parent’s website is not incorporated herein. We make available, free of charge, on or through the “Investor Relations” tab on our parent’s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w:t>
      </w:r>
    </w:p>
    <w:p>
      <w:pPr>
        <w:spacing w:after="0" w:line="5" w:lineRule="exact"/>
        <w:rPr>
          <w:rFonts w:ascii="Times New Roman" w:cs="Times New Roman" w:eastAsia="Times New Roman" w:hAnsi="Times New Roman"/>
          <w:sz w:val="18"/>
          <w:szCs w:val="18"/>
          <w:color w:val="auto"/>
        </w:rPr>
      </w:pPr>
    </w:p>
    <w:p>
      <w:pPr>
        <w:ind w:left="5500" w:right="5020" w:hanging="5384"/>
        <w:spacing w:after="0" w:line="433" w:lineRule="auto"/>
        <w:tabs>
          <w:tab w:leader="none" w:pos="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575-6300), Attention: Investor Relations, or by contacting us on our website. S-5</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55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998970" cy="2155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summary in conjunction with the more detailed information in this prospectus supplement, the accompanying prospectus and the documents incorporated herein by reference.</w:t>
      </w:r>
    </w:p>
    <w:p>
      <w:pPr>
        <w:spacing w:after="0" w:line="3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Evergy Kansas Central is an integrated, regulated electric utility that provides electricity to customers in the state of Kansas. Evergy Kansas Central has one active wholly owned subsidiary with significant operations, Evergy Kansas South, Inc. (“Evergy Kansas South”). We serve approximately 744,600 customers located in central and eastern Kansas. Customers include approximately 645,300 residences, 94,100 commercial firms, and 5,200 industrials, municipalities and other electric utilities. Evergy Kansas Central and Evergy Kansas South conduct business in their respective service territories using the name Evergy. Our principal executive offices are located at 818 South Kansas Avenue, Topeka, Kansas 66612. Our telephone number is (785) 575-6300.</w:t>
      </w: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80"/>
          </w:cols>
          <w:pgMar w:left="320" w:top="455"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bonds. It does not contain all the information that is important to you. For a more complete understanding of the bonds, please refer to the section of this prospectus supplement entitled “Description of the Bonds” and the section of the accompanying prospectus entitled “Description of First Mortgage Bonds” and the information included or incorporated by reference herein before making an investment decision.</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Evergy Kansas Central, Inc.</w:t>
            </w:r>
          </w:p>
        </w:tc>
      </w:tr>
      <w:tr>
        <w:trPr>
          <w:trHeight w:val="45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aggregate principal amount of First Mortgage Bonds, 5.25% Series due 2035 (the</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“bonds”). The bonds will constitute an additional issuance of our First Mortgage Bonds,</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5.25% Series due 2035 issued on March 13, 2025 in an aggregate principal amount of</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$300 million (the “existing bonds”), which were offered by a prospectus supplement dated</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March 6, 2025, and will form a single series with the existing bonds. The bonds will have</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terms identical to the existing bonds, other than the date of issuance, the first interest</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accrual date, the first interest payment date and the initial price to the public, will have the</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same CUSIP number and will trade interchangeably with the existing bonds immediately</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upon settlement. Upon the issuance of the bonds, the aggregate principal amount of</w:t>
            </w:r>
          </w:p>
        </w:tc>
      </w:tr>
      <w:tr>
        <w:trPr>
          <w:trHeight w:val="234"/>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outstanding bonds of this series (including the existing bonds) will be $         .</w:t>
            </w:r>
          </w:p>
        </w:tc>
      </w:tr>
      <w:tr>
        <w:trPr>
          <w:trHeight w:val="459"/>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 bonds will mature on March 15, 2035.</w:t>
            </w:r>
          </w:p>
        </w:tc>
      </w:tr>
      <w:tr>
        <w:trPr>
          <w:trHeight w:val="45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Interest on the bonds will accrue from September 15, 2025 (which is the most recent date</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to which interest has been paid on the existing bonds), which we refer to as “pre-issuance</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accrued interest” herein, at the rate of 5.25% per year, payable semi-annually in cash in</w:t>
            </w:r>
          </w:p>
        </w:tc>
      </w:tr>
      <w:tr>
        <w:trPr>
          <w:trHeight w:val="234"/>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arrears on each March 15 and September 15, beginning on March 15, 2026.</w:t>
            </w:r>
          </w:p>
        </w:tc>
      </w:tr>
      <w:tr>
        <w:trPr>
          <w:trHeight w:val="441"/>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w:t>
            </w: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 bonds will be secured equally and ratably with all other first mortgage bonds now</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outstanding or hereafter issued under the mortgage by a lien on substantially all of our</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fixed property and franchises, including certain after-acquired property, subject to certain</w:t>
            </w:r>
          </w:p>
        </w:tc>
      </w:tr>
      <w:tr>
        <w:trPr>
          <w:trHeight w:val="234"/>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exceptions.</w:t>
            </w:r>
          </w:p>
        </w:tc>
      </w:tr>
      <w:tr>
        <w:trPr>
          <w:trHeight w:val="441"/>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 bonds will be our secured obligations, equal in right of payment to all other debt</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currently outstanding or hereafter issued under the mortgage. The mortgage prohibits us</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from incurring other debt senior or equal to the bonds offered hereby unless certain tests</w:t>
            </w:r>
          </w:p>
        </w:tc>
      </w:tr>
      <w:tr>
        <w:trPr>
          <w:trHeight w:val="234"/>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are met. The bonds will be structurally subordinated to the debt of our subsidiaries.</w:t>
            </w:r>
          </w:p>
        </w:tc>
      </w:tr>
      <w:tr>
        <w:trPr>
          <w:trHeight w:val="441"/>
        </w:trPr>
        <w:tc>
          <w:tcPr>
            <w:tcW w:w="2860" w:type="dxa"/>
            <w:vAlign w:val="bottom"/>
          </w:tcPr>
          <w:p>
            <w:pPr>
              <w:spacing w:after="0"/>
              <w:rPr>
                <w:sz w:val="24"/>
                <w:szCs w:val="24"/>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As of September 30, 2025, after giving effect to this offering and the use of proceeds from</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 bonds, we would have had total indebtedness on our consolidated balance sheet of</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approximately $         billion (excluding intracompany debt, trade payables and debt of</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variable interest entities). Of this amount, approximately $836.4 million would have been</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structurally senior to the bonds because our subsidiaries are the obligors under such</w:t>
            </w:r>
          </w:p>
        </w:tc>
      </w:tr>
      <w:tr>
        <w:trPr>
          <w:trHeight w:val="234"/>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indebtedness.</w:t>
            </w:r>
          </w:p>
        </w:tc>
      </w:tr>
      <w:tr>
        <w:trPr>
          <w:trHeight w:val="172"/>
        </w:trPr>
        <w:tc>
          <w:tcPr>
            <w:tcW w:w="286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tcPr>
          <w:p>
            <w:pPr>
              <w:spacing w:after="0"/>
              <w:rPr>
                <w:sz w:val="14"/>
                <w:szCs w:val="14"/>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Reopening of Bond Series</w:t>
            </w:r>
          </w:p>
        </w:tc>
        <w:tc>
          <w:tcPr>
            <w:tcW w:w="78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We may, without the consent of the holders of the bonds offered hereby, issue additional</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first mortgage bonds ranking equally with first mortgage bonds of other series then</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outstanding, including the bonds offered hereby, having dates, maturities, interest rates,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redemption prices and other terms as our board of directors may determine only if certain</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conditions in the mortgage are satisfied. We may, from time to time, at our option and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without the consent of any holder of the bonds offered hereby, reopen this series for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issuance of additional bonds. See “Description of the Bonds—Reopening of Bond Series”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and “—Amendments to Mortgage—Issuance of Additional Bonds” in this prospectus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supplement. As of September 30, 2025, approximately $2.2 billion in aggregate principal</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amount of additional first mortgage bonds could be issued under the most restrictive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provisions of the mortgage, without giving effect to the issuance of the bonds offered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hereby and the use of proceeds described under “Use of Proceeds” in this prospectus</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supplement.</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Prior to December 15, 2034 (the date that is three months prior to the maturity date of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bonds (the “Par Call Date”)), we may redeem the bonds at our option, in whole or in part,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at any time and from time to time, at the redemption price (expressed as a percentage of</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principal amount and rounded to three decimal places) equal to the greater of:</w:t>
            </w:r>
          </w:p>
        </w:tc>
      </w:tr>
      <w:tr>
        <w:trPr>
          <w:trHeight w:val="319"/>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   (a) the sum of the present values of the remaining scheduled payments of principal</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and interest thereon discounted to the redemption date (assuming the bonds matured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on the Par Call Date) on a semi-annual basis (assuming a 360-day year consisting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twelve 30-day months) at the Treasury Rate (as defined herein) plus 15 basis points</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less (b) interest accrued to the redemption date; and</w:t>
            </w:r>
          </w:p>
        </w:tc>
      </w:tr>
      <w:tr>
        <w:trPr>
          <w:trHeight w:val="319"/>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   100% of the principal amount of the bonds to be redeemed, plus, in either case,</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accrued and unpaid interest thereon to, but excluding, the redemption date.</w:t>
            </w:r>
          </w:p>
        </w:tc>
      </w:tr>
      <w:tr>
        <w:trPr>
          <w:trHeight w:val="441"/>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On or after the Par Call Date, we may redeem the bonds at our option, in whole or in part,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at any time and from time to time, at a redemption price equal to 100% of the principal</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amount of the bonds to be redeemed plus accrued and unpaid interest thereon to, but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excluding, the date of redemption. See “Description of the Bonds—Optional Redemption”</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 this prospectus supplement.</w:t>
            </w:r>
          </w:p>
        </w:tc>
      </w:tr>
      <w:tr>
        <w:trPr>
          <w:trHeight w:val="441"/>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 notice of redemption may provide that the optional redemption described in such notice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is conditioned upon the occurrence of certain events before the redemption date. Such</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notice of conditional redemption will be of no effect unless all such conditions to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redemption have occurred before the redemption date or have been waived by us. See</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“Description of the Bonds—Optional Redemption” in this prospectus supplement.</w:t>
            </w:r>
          </w:p>
        </w:tc>
      </w:tr>
      <w:tr>
        <w:trPr>
          <w:trHeight w:val="172"/>
        </w:trPr>
        <w:tc>
          <w:tcPr>
            <w:tcW w:w="3140" w:type="dxa"/>
            <w:vAlign w:val="bottom"/>
            <w:tcBorders>
              <w:left w:val="single" w:sz="8" w:color="auto"/>
              <w:bottom w:val="single" w:sz="8" w:color="auto"/>
            </w:tcBorders>
          </w:tcPr>
          <w:p>
            <w:pPr>
              <w:spacing w:after="0"/>
              <w:rPr>
                <w:sz w:val="14"/>
                <w:szCs w:val="14"/>
                <w:color w:val="auto"/>
              </w:rPr>
            </w:pPr>
          </w:p>
        </w:tc>
        <w:tc>
          <w:tcPr>
            <w:tcW w:w="7880" w:type="dxa"/>
            <w:vAlign w:val="bottom"/>
            <w:tcBorders>
              <w:bottom w:val="single" w:sz="8" w:color="auto"/>
              <w:right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net proceeds from this offering, after deducting the underwriting discount and</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estimated expenses of this offering (and not including the amount of pre-issuance accrued</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interest paid by the purchasers of the bonds), are expected to be approximately $ . We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intend to use the net proceeds from this offering to repay indebtedness incurred under our</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commercial paper program and for general corporate purposes. As of November 14, 2025,</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we had outstanding $256.8 million of short-term indebtedness under our commercial paper</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program with interest rates ranging from 4.08% to 4.10%. Our commercial paper is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supported by a revolving credit facility, which we have used in the past and, depending on</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market conditions, may continue to use in the future to fund working capital needs. See</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“Use of Proceeds” in this prospectus supplement.</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Certain of the underwriters or their affiliates may hold a portion of our outstanding</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commercial paper that may be repaid using the net proceeds of this offering. In such event,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it is possible that one or more of the underwriters or their affiliates could receive 5% or</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more of the net proceeds of this offering. In the event of any such conflict of interest, such</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underwriter would be required to conduct the distribution of the bonds in accordance with</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Rule 5121 (Public Offerings of Securities with Conflicts of Interest) of the Financial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Industry Regulatory Authority, Inc. (“FINRA”). See “Underwriting (Conflicts of Interest)</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—Conflicts of Interest” in this prospectus supplement.</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Before deciding to invest in any of the bonds, you should carefully consider all of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information set forth under “Risk Factors” beginning on page S-11 of this prospectus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supplement and page 5 of the accompanying prospectus and other information incorporated</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by reference in this prospectus supplement.</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 of the Bonds</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We do not intend to list the bonds on any securities exchange or seek their quotation on any</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automated dealer quotation system.</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Bank of New York Mellon Trust Company, N.A. (as successor to Harris Trust and</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Savings Bank)</w:t>
            </w:r>
          </w:p>
        </w:tc>
      </w:tr>
      <w:tr>
        <w:trPr>
          <w:trHeight w:val="172"/>
        </w:trPr>
        <w:tc>
          <w:tcPr>
            <w:tcW w:w="3060" w:type="dxa"/>
            <w:vAlign w:val="bottom"/>
            <w:tcBorders>
              <w:left w:val="single" w:sz="8" w:color="auto"/>
              <w:bottom w:val="single" w:sz="8" w:color="auto"/>
            </w:tcBorders>
          </w:tcPr>
          <w:p>
            <w:pPr>
              <w:spacing w:after="0"/>
              <w:rPr>
                <w:sz w:val="14"/>
                <w:szCs w:val="14"/>
                <w:color w:val="auto"/>
              </w:rPr>
            </w:pPr>
          </w:p>
        </w:tc>
        <w:tc>
          <w:tcPr>
            <w:tcW w:w="7960" w:type="dxa"/>
            <w:vAlign w:val="bottom"/>
            <w:tcBorders>
              <w:bottom w:val="single" w:sz="8" w:color="auto"/>
              <w:right w:val="single" w:sz="8" w:color="auto"/>
            </w:tcBorders>
          </w:tcPr>
          <w:p>
            <w:pPr>
              <w:spacing w:after="0"/>
              <w:rPr>
                <w:sz w:val="14"/>
                <w:szCs w:val="14"/>
                <w:color w:val="auto"/>
              </w:rPr>
            </w:pPr>
          </w:p>
        </w:tc>
      </w:tr>
      <w:tr>
        <w:trPr>
          <w:trHeight w:val="361"/>
        </w:trPr>
        <w:tc>
          <w:tcPr>
            <w:tcW w:w="3060" w:type="dxa"/>
            <w:vAlign w:val="bottom"/>
          </w:tcPr>
          <w:p>
            <w:pPr>
              <w:spacing w:after="0"/>
              <w:rPr>
                <w:sz w:val="24"/>
                <w:szCs w:val="24"/>
                <w:color w:val="auto"/>
              </w:rPr>
            </w:pPr>
          </w:p>
        </w:tc>
        <w:tc>
          <w:tcPr>
            <w:tcW w:w="79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02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300" w:right="300" w:firstLine="426"/>
        <w:spacing w:after="0" w:line="255" w:lineRule="auto"/>
        <w:rPr>
          <w:sz w:val="20"/>
          <w:szCs w:val="20"/>
          <w:color w:val="auto"/>
        </w:rPr>
      </w:pPr>
      <w:r>
        <w:rPr>
          <w:rFonts w:ascii="Times New Roman" w:cs="Times New Roman" w:eastAsia="Times New Roman" w:hAnsi="Times New Roman"/>
          <w:sz w:val="18"/>
          <w:szCs w:val="18"/>
          <w:color w:val="auto"/>
        </w:rPr>
        <w:t>The following summary of consolidated financial data for the years ended December 31, 2022 through December 31, 2024 has been derived from our audited consolidated financial statements and related notes, incorporated by reference in this prospectus supplement. The following summary of consolidated financial data for each of the nine months ended September 30, 2025 and September 30, 2024 has been derived from our unaudited consolidated financial statements and related notes, incorporated by reference in this prospectus supplement.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11"/>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revenues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2,328.6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2,338.0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2,415.9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(1,317.3)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flows from (used in) financing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nuclear fuel</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(1,274.6)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(1,196.8)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6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S-10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the bonds is subject to various risks. These risks should be considered carefully with the information provided elsewhere and incorporated by reference in this prospectus supplement and the accompanying prospectus before deciding to invest in the bonds.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2024 for a description of additional uncertainties associated with our business, results of operations and financial condition and the forward-looking statements included or incorporated by reference in this prospectus supplement and the accompanying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Bonds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 — Our indebtedness could adversely affect our ability to fulfill our obligations under the bonds.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consolidated indebtedness and debt service obligations are significant. Our consolidated interest expense was approximately $229.5 million for the year ended December 31, 2024 and $178.9 million for the nine months ended September 30, 2025. As of September 30, 2025, our total consolidated long-term debt, including current maturities, was approximately $5.2 billion, excluding debt of variable interest entities, contractual obligations and other commitments. We may incur additional short-term and long-term debt from time to time to finance our construction requirements, pension benefit plan funding requirements, dividends to our parent company, working capital or capital expenditures or for other general corporate purposes, subject to the restrictions contained in our master revolving credit agreement that governs our senior unsecured revolving credit facility and in the mortgage, which governs the bonds being issued hereby, and any other agreements under which we incur debt.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debt could have important consequences to holders of the bonds, including the following:</w:t>
      </w:r>
    </w:p>
    <w:p>
      <w:pPr>
        <w:spacing w:after="0" w:line="131" w:lineRule="exact"/>
        <w:rPr>
          <w:sz w:val="20"/>
          <w:szCs w:val="20"/>
          <w:color w:val="auto"/>
        </w:rPr>
      </w:pPr>
    </w:p>
    <w:p>
      <w:pPr>
        <w:ind w:left="1080" w:right="2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use a substantial portion of our consolidated cash flow from operations to pay principal and interest on our debt, thereby reducing the availability of our consolidated cash flow to fund our construction requirements, pension benefit plan funding requirements, dividends to our parent company, working capital and capital expenditures and for other general corporate purposes;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prevailing interest rates increase, our interest expense could increase because some of our indebtedness bears interest at floating rates;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increases our vulnerability to economic downturns, and adverse competitive and industry conditions could place us at a competitive disadvantage compared to those of our competitors that are less leveraged;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obligations could limit our flexibility in planning for, or reacting to, changes in our business and our industry and could limit our ability to pursue other business opportunities, borrow more money for operations or raise capital in the future and implement our business strategies.</w:t>
      </w:r>
    </w:p>
    <w:p>
      <w:pPr>
        <w:spacing w:after="0" w:line="280"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color w:val="auto"/>
        </w:rPr>
        <w:t>No Guarantees — Our parent company is not guaranteeing the bonds and you should not rely upon information relating to our parent company in determining whether to invest in the bonds.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described in more detail under “Where You Can Find More Information,” we and our parent company, Evergy, separately file combined annual and quarterly and, at times, combined current reports. However, only the information related to Evergy Kansas Central and its consolidated subsidiaries is incorporated by reference in this prospectus supplement. You should not rely on any information relating solely to Evergy or its subsidiaries (other than Evergy Kansas Central and its subsidiaries) in determining whether to invest in the bonds. The bonds are not guaranteed by Evergy or any of its or our subsidiaries. None of those entities has any obligation to make any capital contribution or distributions or to advance funds to us for the purpose of paying the principal of,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premium, if any, or interest on, the bonds or any other amount that may be required to be paid under the mortgage or the bonds, preventing or curing an event of default under the terms of the mortgage, complying with any other obligation under the mortgage or the bonds or otherwise.</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cannot assure you that there will be an active public market for the bonds, and if a market develops, it may not be liquid and prices of the bonds may vary.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the existing bonds have traded since their issuance on March 13, 2025, a market for our First Mortgage Bonds, 5.25% Series due 2035, including the bonds offered hereby, might not continue to be sustained. We do not intend to list the bonds on any securities exchange or to seek their quotation on any automated dealer quotation system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cannot assure holders of the bonds that any liquid market for the bonds will ever develop or be maintained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underwriters have advised us that they currently intend to make a market in the bonds following this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the underwriters have no obligation to make a market in the bonds and, at their sole discretion, they may stop at any time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Further, there can be no assurance as to the liquidity of any market that may develop for the bonds, holders’ ability to sell their bonds or the price at which holders will be able to sell their bonds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Future trading prices of the bonds will depend on many factors, including prevailing interest rates (which have fluctuated in the past and are likely to fluctuate in the future), our financial condition and results of operations, the then-current ratings assigned to the bonds and the market for similar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trading market that develops would be affected by many factors independent of and in addition to the foregoing, including:</w:t>
      </w:r>
    </w:p>
    <w:p>
      <w:pPr>
        <w:spacing w:after="0" w:line="9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 bonds;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the bonds;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related to optional redemption of the bonds;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w:t>
      </w:r>
    </w:p>
    <w:p>
      <w:pPr>
        <w:spacing w:after="0" w:line="329"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credit ratings and ratings on the bonds may be decreased, suspended or withdrawn and may not reflect all risks of your investment in the bonds.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Evergy Kansas Central and certain of its securities are rated by Moody’s Investors Service, Inc. and S&amp;P Global Ratings. There is no assurance that such credit ratings will be issued or remain in effect for any given period of time or that such ratings will not be decreased, suspended or withdrawn entirely by the rating agencies, if, in each rating agency’s judgment, circumstances so warrant. Evergy Kansas Central’s credit ratings could decrease as a result of events directly affecting Evergy and its subsidiaries (other than Evergy Kansas Central and its subsidiaries), even though Evergy is not guaranteeing the bonds and is not generally obligated to provide credit support to us. Holders of bonds will have no recourse against us or any other parties in the event of a change in or suspension or withdrawal of such ratings. Any decrease, suspension or withdrawal of such ratings may have an adverse effect on the market price or marketability of debt securities issued by us, including the bonds.</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Evergy Kansas Central’s credit ratings are an assessment by rating agencies of our ability to pay our debts when due. Consequently, real or anticipated changes in our credit ratings will generally affect the market value of the bonds. These credit ratings may not reflect the potential impact of risks relating to the terms or market for the bonds. Credit ratings are not a recommendation to buy, sell or hold any security, and may be revised or withdrawn at any time by the issuing organization. Each rating agency’s rating should be evaluated independently of any other rating agency’s rating.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net proceeds from this offering, after deducting the underwriting discount and estimated expenses payable by us (and not including the amount of pre-issuance accrued interest paid by the purchasers of the bonds), will be approximately $        million. We intend to use the net proceeds from this offering to repay indebtedness incurred under our commercial paper program and for general corporate purposes.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November 14, 2025, we had outstanding $256.8 million of short-term indebtedness under our commercial paper program with interest rates ranging from 4.08% to 4.10%. Our commercial paper is supported by a revolving credit facility, which we have used in the past and, depending on market conditions, may continue to use in the future to fund working capital needs.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portion of the net proceeds may be invested temporarily in short-term interest-bearing accounts, securities or similar investments until they are used for their intended purposes.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their affiliates may own some of our outstanding commercial paper, the repayment of which would be funded with a portion of the net proceeds from the sale of the bonds. See “Underwriting (Conflicts of Interest)—Conflicts of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BONDS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offering $        aggregate principal amount of our First Mortgage Bonds, 5.25% Series due 2035 (the “bonds”), which will mature on March 15, 2035. The bonds will constitute an additional issuance of our First Mortgage Bonds, 5.25% Series due 2035 issued on March 13, 2025 in an aggregate principal amount of $300,000,000 (the “existing bonds”) and will form a single series of securities with the existing bonds issued and secured by the Mortgage and Deed of Trust, dated as of July 1, 1939, between us and The Bank of New York Mellon Trust Company, N.A. (as successor to Harris Trust and Savings Bank), as trustee (the “trustee”), as supplemented and amended (the “mortgage”), including by the Fifty-Third Supplemental Indenture, dated as of March 13, 2025, which established the terms of the existing bonds, and the Fifty-Fourth Supplemental Indenture, dated as of November 25, 2025, which is described under “—Amendments to Mortgage” below, and as to be further supplemented by a new supplemental (reopening) indenture with respect to the bonds. The terms of the bonds include those stated in the mortgage and those made part of the mortgage by reference to the Trust Indenture Act of 1939, as amended. The mortgage provides that we will have the ability to issue securities with terms different from those of the bonds. Copies of the mortgage and the form of bonds are available from us upon request.</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along with the additional information contained in the accompanying prospectus under “Description of First Mortgage Bonds” (except to the extent described under “—Amendments to Mortgage” below) is a summary of the material provisions of the mortgage and the bonds. Because this is a summary, it may not contain all the information that is important to you. For further information, you should read the mortgage and the bonds. As used in this section of this prospectus supplement, the terms “we,” “us” and “our” refer solely to Evergy Kansas Central, Inc., and such references do not include any subsidiary of Evergy Kansas Central, Inc.</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bonds will have terms identical to the existing bonds, other than the date of issuance, the first interest accrual date, the first interest payment date and the initial price to the public, will have same CUSIP number and will trade interchangeably with the existing bonds immediately upon settlement. Upon the issuance of the bonds, the aggregate principal amount of outstanding bonds of its series (including the existing bonds) will be $        .</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Bonds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bonds:</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secured equally and ratably with all other bonds outstanding or hereafter issued under our mortgage;</w:t>
      </w:r>
    </w:p>
    <w:p>
      <w:pPr>
        <w:spacing w:after="0" w:line="13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will be issued in an initial aggregate principal amount of $            ;</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mature on March 15, 2035, with interest payable semi-annually in arrears on each March 15 and September 15, beginning on</w:t>
      </w:r>
    </w:p>
    <w:p>
      <w:pPr>
        <w:spacing w:after="0" w:line="27"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15, 2026, to the persons in whose names the bonds are registered at the close of business on the record date for the interest payment date, which will be the close of business on (i) the Business Day (as defined in the mortgage) immediately preceding such interest payment date so long as all of the bonds remain in book-entry only form or (ii) the fifteenth calendar day immediately preceding each interest payment date if any of the bonds do not remain in book-entry only form; and</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fully-registered book-entry form, in denominations of $2,000 and in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2025, after giving effect to this offering, we would have had total indebtedness on our consolidated balance sheet of approximately $        billion (excluding intracompany debt, trade payables and debt of variable interest entities). Of this amount, approximately $836.4 million would have been structurally senior to the bonds because our subsidiaries are the obligors under such indebtedness.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Interest on the bonds will be computed on the basis of a 360-day year consisting of twelve 30-day months. Interest on the bonds will accrue from September 15, 2025 (which is the most recent date to which interest has been paid on the existing bonds) and, thereafter, from each interest payment date on which interest has been paid and will be payable semi-annually on the interest payment dates described above. If any date on which interest is payable on the bonds is not a Business Day, then payment of the interest payable on such date will be made on the next succeeding day which is a Business Day (and without any interest or other payment in respect of any such delay), with the same force and effect as if made on such date.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bonds, see “— Book-Entry System”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December 15, 2034 (the date that is three months prior to the maturity date of the bonds (the “Par Call Date”)), we may redeem the bonds at our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jc w:val="both"/>
        <w:ind w:left="1080" w:right="1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bonds matured on the Par Call Date) on a semi-annual basis (assuming a 360-day year consisting of twelve 30-day months) at the Treasury Rate applicable to the bonds plus 15 basis points less (b) interest accrued to the redemption date;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bonds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or after the Par Call Date, we may redeem the bonds at our option, in whole or in part, at any time and from time to time, at a redemption price equal to 100% of the principal amount of the bonds to be redeemed, plus accrued and unpaid interest thereon to, but excluding, the redemption date.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optional redemption provisions, the following term has the following meaning: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we shall select, as applicable:</w:t>
      </w:r>
    </w:p>
    <w:p>
      <w:pPr>
        <w:spacing w:after="0" w:line="93" w:lineRule="exact"/>
        <w:rPr>
          <w:sz w:val="20"/>
          <w:szCs w:val="20"/>
          <w:color w:val="auto"/>
        </w:rPr>
      </w:pPr>
    </w:p>
    <w:p>
      <w:pPr>
        <w:ind w:left="1080" w:right="6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“Remaining Life”);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yields—one yield corresponding to the Treasury constant maturity on H.15 immediately shorter than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6" w:lineRule="auto"/>
        <w:rPr>
          <w:sz w:val="20"/>
          <w:szCs w:val="20"/>
          <w:color w:val="auto"/>
        </w:rPr>
      </w:pPr>
      <w:r>
        <w:rPr>
          <w:rFonts w:ascii="Times New Roman" w:cs="Times New Roman" w:eastAsia="Times New Roman" w:hAnsi="Times New Roman"/>
          <w:sz w:val="18"/>
          <w:szCs w:val="18"/>
          <w:color w:val="auto"/>
        </w:rPr>
        <w:t>and one yield corresponding to the Treasury constant maturity on H.15 immediately longer than the Remaining Life—and shall interpolate to the Par Call Date on a straight-line basis (using the actual number of days) using such yields and rounding the result to three decimal places; or</w:t>
      </w:r>
    </w:p>
    <w:p>
      <w:pPr>
        <w:spacing w:after="0" w:line="81" w:lineRule="exact"/>
        <w:rPr>
          <w:sz w:val="20"/>
          <w:szCs w:val="20"/>
          <w:color w:val="auto"/>
        </w:rPr>
      </w:pPr>
    </w:p>
    <w:p>
      <w:pPr>
        <w:ind w:left="1080" w:right="34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shall have no obligation or duty whatsoever to determine, or to verify our calculations of, the redemption price.</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will send notice of any redemption at least 10 days but not more than 60 days before the redemption date to each registered holder of the bonds to be redeemed.</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bonds or portions of the bonds called for redemption.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bonds that are due and payable on interest payment dates falling on or prior to a redemption date will be payable on the interest payment date to the registered holders as of the close of business on the relevant record date according to the bonds and the mortgage.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notice to holders of the bonds of a redemption shall state, among other things, the redemption price and date. 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If any of these events fail to occur and are not waived by us, we will be under no obligation to redeem the bonds or pay the holders any redemption proceeds and our failure to so redeem the bonds will not be considered a default or event of default under the mortgage. In the event that any of these conditions fail to occur or are not waived by us, we will promptly notify the trustee in writing that the conditions precedent to such redemption have failed to occur and the bonds will not be redeemed.</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we redeem less than all of the outstanding bonds, the bonds to be redeemed will be selected in accordance with the policies and procedures of The Depository Trust Company (or any successor depositary thereto)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(“DTC”), provided that in the event the bonds are no longer held in global form through DTC, the bonds to be redeemed will be selected by the trustee by lot. We will not be responsible for giving notice of a redemption of the bonds to anyone other than DTC.</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foregoing and to applicable law (including, without limitation, United States federal securities laws), we or our affiliates may, at any time and from time to time, purchase outstanding bonds by tender, in the open market or by private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bonds.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Reopening of Bond Series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without the consent of the holders of the bonds offered hereby, issue additional bonds ranking equally with the bonds of any series under the mortgage then outstanding, including the bonds offered hereby, having dates, maturities, interest rates, redemption prices and other terms as our board of directors may determine only if certain conditions in the mortgage are satisfied. See “—Amendments to Mortgage—Issuance of Additional Bonds” below.</w:t>
      </w:r>
    </w:p>
    <w:p>
      <w:pPr>
        <w:spacing w:after="0" w:line="18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Subject to the limits contained in the mortgage, we may, from time to time, at our option and without the consent of any holder of the bonds offered hereby, reopen this series for the issuance of additional first mortgage bonds, on the same terms and conditions (other than the issue date, the date and amount of the first interest payment, the issue price and any other changes required by law), in each case, as the bonds being offered by this prospectus supplement. We do not plan to inform the existing holders if we reopen a series of first mortgage bonds to issue and sell additional first mortgage bonds of such series in the future. Additional first mortgage bonds issued in this way will be consolidated with and form a single series with the series of bonds being offered by this prospectus supplement, provided that if any such additional first mortgage bonds are not fungible for U.S. federal income tax purposes with the bonds offered hereby, such additional first mortgage bonds will be issued under a separate CUSIP number.</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2025, approximately $2.2 billion principal amount of additional first mortgage bonds could be issued under the most restrictive provisions of the mortgage, without giving effect to the issuance of the bonds offered hereby and the use of proceeds described under “Use of Proceeds” in this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Mortgage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Pursuant to the Fifty-Fourth Supplemental Indenture to the mortgage, dated as of November 25, 2025, between us and the trustee (the “Fifty-Fourth Supplemental Indenture”), certain amendments to the mortgage were effectuated (the “Mortgage Amendments”).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Mortgage Amendments are generally described under “Description of First Mortgage Bonds” in the accompanying prospectus, including in the third and fourth paragraphs (other than, with some exceptions, clause (5) of the fourth paragraph) under “—Modification of the Mortgage” therein. As a result of the Mortgage Amendments, the three sections set forth below replace and supersede in their entireties the corresponding sections in the accompanying prospectus.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Bonds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8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of the net bondable value of property additions not subject to an unfunded prior lien;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bonds retired or to be retired (except out of trust monies); and</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deposited with the trustee for such purpose, which may thereafter be withdrawn upon the same basis that additional bonds are issuable under clause (1) or (2)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bonds may not be issued on the basis of property additions subject to an unfunded prior lien.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Release and Substitution of Property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70%, or the deposit with the trustee of bonds we have acquired. The mortgage contains special provisions with respect to the release of all or substantially all of our gas and electric properties.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mortgage also permits (1)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and (2)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under the mortgage includes:</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bond when the same shall become due and payable, whether at maturity or otherwise;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continuing for 30 days in the payment of any installment of interest on any bond or in the payment or satisfaction of any sinking fund obligation;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specific in such prior lien bond;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Substitution of Bonds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or any successor entity will have the right to substitute mortgage bonds or other similar secured instruments for the bonds offered hereby, provided that (1) such substitute mortgage bonds or other similar secured instruments have terms that are (x) identical to those of the bonds offered hereby as to principal amount then outstanding and the then current interest rate, maturity date, interest payment dates and optional redemption provisions and (y) otherwise substantially similar to those of the bonds offered hereby and carry ratings equal to or better than the then current ratings of the bonds offered hereby, (2) we deliver to the trustee an opinion of counsel that such substitution will not result in the recognition of capital gain or loss for U.S. federal income tax purposes to the holders of the bonds offered hereby and (3) we deliver certain other certificates and documents, as required by the supplemental indenture to the mortgage related to the bonds offered hereby to the trustee.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Upon issuance, the bonds will be represented by one or more global securities deposited with, or on behalf of, DTC, as depositary. The global securities representing the bonds will be registered in the name of the depositary or its nominee. Except under the circumstances described in the accompanying prospectus under “Book-Entry System,” the bonds will not be issuable in definitive form. So long as the bonds are represented by one or more global securities, the depositary or its nominee will be considered the sole owner or holder of such bonds for all purposes under the mortgage, and the beneficial owners of such bonds will be entitled only to those rights and benefits afforded to them in accordance with the depositary’s regular operating procedures.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depositary has confirmed to us, the underwriters and the trustee that it intends to follow such procedures with respect to the bonds. A further description of the depositary’s procedures with respect to global securities is set forth in the accompanying prospectus under “Book-Entry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bonds received in Clearstream or Euroclear as a result of a transaction with a DTC participant will be made during subsequent securities settlement processing and dated the business day following the DTC settlement date. Such credits or any transactions in such bonds settled during such processing will be reported to the relevant Euroclear participant or Clearstream participant on such business day. Cash received in Clearstream or Euroclear as a result of sales of the bonds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and our affiliates maintain corporate trust and other banking relationships (including borrowing) with The Bank of New York Mellon Trust Company, N.A. and its affiliates. In addition, BNY Mellon Capital Markets, LLC, one of the underwriters for this offering, is an affiliate of the trustee.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considerations that may be relevant to the purchase, ownership and disposition of the bonds. This discussion does not address all aspects of taxation that may be relevant to a particular holder of the bonds in light of the holder’s personal investment or tax circumstances, or to certain types of holders that are subject to special treatment under the U.S. federal income tax laws, such as:</w:t>
      </w:r>
    </w:p>
    <w:p>
      <w:pPr>
        <w:spacing w:after="0" w:line="8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foreign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thrifts;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bonds as part of a “straddle,” a “hedge,” a “constructive sale” transaction, or a “conversion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U.S. long-term residents or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that have a “functional currency” other than the U.S. dollar or that hold bonds through a non-U.S. broker or other non-U.S. intermediary;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the bonds in connection with employment or other performance of services;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accruals with respect to the bonds to their financial statements;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or arrangements treated as partnerships for U.S. federal income tax purposes) and investors in such partnerships (or such other pass-through entities or arrangements).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summary assumes that the bonds are held as capital assets within the meaning of Section 1221 of the Internal Revenue Code of 1986, as amended (the “Code”) for U.S. federal income tax purposes, which generally means property held for investment. In addition, this discussion is limited to the U.S. federal income tax consequences to initial investors that purchase the bonds for cash, at the offering price set forth for such bonds on the cover page of this prospectus supplement, and does not discuss the tax consequences for subsequent purchasers of the bonds. It does not consider any tax consequences arising out of U.S. federal gift, generation-skipping and estate tax laws or any other U.S. federal tax laws other than U.S. federal income tax laws, under the tax laws of any foreign, state, local or other jurisdiction or any income tax treaty.</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for purposes of this discussion, any entity or arrangement that is treated as a partnership for U.S. federal income tax purposes, is a beneficial owner of bonds, the tax treatment of a partner in the partnership will generally depend on the status of the partner and the activities of the partnership. If you are a partnership that is considering purchasing bonds (or a partner in such partnership), you should consult with your tax advisor.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based upon the Code, applicable Treasury regulations promulgated thereunder, judicial authority and administrative interpretations as of the date hereof, all of which are subject to change or different interpretation, possibly with retroactive effect. There can be no assurance that the Internal Revenue Service (the “IRS”) will not challenge one or more of the tax consequences described herein and we have not obtained, nor do we intend to obtain, a ruling from the IRS with respect to the U.S. federal income tax consequences of the purchase, ownership and disposition of the bonds.</w:t>
      </w:r>
    </w:p>
    <w:p>
      <w:pPr>
        <w:spacing w:after="0" w:line="183"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urge you to consult your own tax advisor about the particular U.S. federal, state, local and foreign tax consequences of the purchase, ownership and disposition of the bonds and the application of the U.S. federal income tax laws to your particular situation.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holder” is a beneficial owner of bonds that,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(1) a court within the United States is able to exercise primary supervision over the administration of such trust and one or more United States persons (as defined in the Code) have the authority to control all substantial decisions of the trust or (2) it has a valid election in place to be treated as a United States person.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Contingent Payments</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If we exercise our optional redemption right, we will be required to repurchase all or a portion of the bonds as described under “Description of the Bonds—Optional Redemption” at a price that may include an additional amount in excess of the principal amount of the bonds and interest thereon. We intend to take the position that the likelihood that we will be required to make such payments is remote as of the issue date of the bonds and therefore that these provisions do not cause the bonds to be treated as “contingent payment debt instruments” for U.S. federal income tax purposes within the meaning of the applicable Treasury regulations. Assuming this position is respected, you would be required to include in income such additional amounts at the time the payments are received or accrued in accordance with your method of accounting for U.S. federal income tax purposes.</w:t>
      </w:r>
    </w:p>
    <w:p>
      <w:pPr>
        <w:spacing w:after="0" w:line="17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determination that the bonds are not contingent payment debt instruments is not binding on the IRS. If the IRS were to successfully challenge our determination and the bonds were treated as contingent payment debt instruments, you would be required, among other things, to accrue interest income at a rate higher than the stated interest rate on the bonds regardless of your method of tax accounting and to treat as ordinary income, rather than capital gain, any gain recognized on a sale, exchange or redemption of a bond. Our determination that the bonds are not contingent payment debt instruments is binding on you unless you disclose your contrary position to the IRS in the manner that is required by applicable Treasury regulations. The remainder of this discussion assumes that the bonds are not treated as contingent payment debt instruments.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Qualified Reopening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bonds offered hereby are an additional issue of the existing bonds. For U.S. federal income tax purposes, we intend to treat the issuance of the bonds as a “qualified reopening” of the existing bonds under applicable Treasury regulations. Under such treatment, the bonds will be deemed to have the same issue date and issue price as the existing bonds for U.S. federal income tax purposes. The remainder of this discussion assumes that the issuance of the bonds offered will be treated as a qualified reopening of the existing bonds.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Pre-Issuance Accrued Interest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portion of the price paid for the bonds will be allocable to stated interest that accrued prior to the date the bonds are purchased (“pre-issuance accrued interest”). We intend to take the position that a portion of the first stated interest payment equal to the amount of such pre-issuance accrued interest will be treated as a nontaxable return of such pre-issuance accrued interest and not as a payment of stated interest on the bonds and will be excluded from a U.S. holder’s basis in the new bond. The remainder of this discussion assumes that the pre-issuance accrued interest will be so treated, and all references to interest in the remainder of this discussion of U.S. holders exclude references to pre-issuance accrued interest.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Stated interest on the bonds generally will be taxable to a U.S. holder as ordinary interest income at the time such interest is received or accrued in accordance with the U.S. holder’s regular method of accounting for U.S. federal income tax purposes.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Amortizable Bond Premium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U.S. holder purchases a new bond for an amount (disregarding any amount properly allocable to pre-issuance accrued interest) in excess of its stated principal amount, the U.S. holder will be considered to have acquired the bond with amortizable “bond premium” equal to such excess. A U.S. holder may elect to amortize such bond premium over the remaining term of the bond. By making this election, the U.S. holder will reduce the amount required to be included in the U.S. holder’s income each year with respect to stated interest on the bond by the amount of amortizable bond premium allocable to that year, based on the yield to maturity of the bond. A U.S. holder’s tax basis in a bond will be reduced by the amount of bond premium so amortized. If the U.S. holder makes an election to amortize bond premium, this election will apply to all debt instruments, other than debt instruments the interest on which is excludible from gross income, that the U.S. holder holds at the beginning of the first taxable year to which the election applies or that the U.S. holder thereafter acquires, and the holder may not revoke this election without the consent of the IRS.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Bonds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taxable gain or loss on the sale, exchange, redemption, retirement or other taxable disposition of a bond. The amount of the U.S. holder’s gain or loss will equal the difference between the amount of cash and fair market value of any other property received by the U.S. holder in exchange for the bond (except to the extent such amount represents accrued but unpaid interest, which will generally be treated as ordinary interest income to the extent the U.S. holder has not previously included the accrued interest in gross income) minus the U.S. holder’s adjusted tax basis in the bond. The U.S. holder’s adjusted tax basis in a bond generally will be the price the U.S. holder paid for the bond decreased by any payments received on the bond other than stated interest and by any amortized bond premium. Any such gain or loss on a taxable disposition of a bond, as described above, will generally constitute capital gain or loss and will be long-term capital gain or loss if the U.S. holder has held such bond for more than one year at the time of disposition. Under current U.S. federal income tax law, net long-term capital gains of certain non-corporate U.S. holders (including individuals) are eligible for taxation at preferential rates. The deductibility of capital losses against ordinary income is subject to limitations. Each U.S. holder is urged to consult its tax advisor regarding the deductibility of capital losses in its particular situation.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Tax</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subject to a 3.8% tax on all or a portion of their “net investment income,” which generally will include interest and gain on a sale in respect of the bonds, subject to certain exceptions. Each U.S. holder is urged to consult its tax advisor regarding the applicability of the net investment income tax to its income and gains in respect of its investment in the bonds.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Payments of principal and interest made by us on, or the proceeds of the sale or other disposition of, the bonds generally will be subject to information reporting requirements unless the U.S. holder is an exempt recipient, such as a corporation, and, if required, demonstrates its status as an exempt recipient. In addition, such payments generally will be subject to U.S. federal backup withholding tax, currently at a rate of 24%, unless the U.S. holder supplies a taxpayer identification number, certified under penalties of perjury, as well as certain other information, or otherwise establishes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bonds that is neither (i) a U.S. holder nor (ii) a partnership or other pass-through entity or arrangement that is treated as a partnership for U.S. federal income tax purposes (which, as indicated above, we do not address herein).</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discussion of Non-U.S. holders, interest does not include any pre-acquisition accrued interest, as discussed above under “U.S. Holders – Pre-Acquisition Accrued Interest.” However, to the extent any interest is subject to U.S. federal withholding tax as described below, the applicable withholding agent will treat payments of interest, including any payment of pre-acquisition accrued interest, as interest income. Non-U.S. holders should consult their tax advisors regarding the ability to obtain a refund of any amounts withheld that are attributable to pre-acquisition accrued interest.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Bonds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(as defined below) withholding, payments of interest on a bond to any Non-U.S. holder will generally not be subject to U.S. federal income or withholding tax, provided that the interest is not effectively connected with a U.S. trade or business conducted by the Non-U.S. holder and the Non-U.S. holder is not (and, if so requested by the paying agent, certifies that it is not):</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constructive owner of 10% or more of the total voting power of all our voting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related (directly or indirectly) to us through stock ownership;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receiving interest on an extension of credit made pursuant to a loan agreement with us entered into in the ordinary course of its trade or business; and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or our paying agent, receive:</w:t>
      </w:r>
    </w:p>
    <w:p>
      <w:pPr>
        <w:spacing w:after="0" w:line="131" w:lineRule="exact"/>
        <w:rPr>
          <w:sz w:val="20"/>
          <w:szCs w:val="20"/>
          <w:color w:val="auto"/>
        </w:rPr>
      </w:pPr>
    </w:p>
    <w:p>
      <w:pPr>
        <w:ind w:left="1080" w:right="1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Non-U.S. holder, a properly completed IRS Form W-8BEN or W-8BEN-E (or substitute Form W-8BEN or W-8BEN-E or the appropriate successor form), signed under penalties of perjury, which provides the Non-U.S. holder’s name and address and certifies that the Non-U.S. holder of the bond is not a United States person (as defined in the Code); or</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securities clearing organization, bank or other financial institution that holds the bonds in the ordinary course of its trade or business (a “financial institution”) on behalf of the Non-U.S. holder, certification under penalties of perjury that such a Form W-8BEN or W-8BEN-E (or substitute Form W-8BEN or W-8BEN-E or the appropriate successor form) has been received by it, or by another such financial institution, from the Non-U.S. holder, and a copy of the Form W-8BEN or W-8BEN-E (or substitute Form W-8BEN or W-8BEN-E or the appropriate successor form) is furnished to the payor.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rules may apply to holders that hold bonds through “qualified intermediaries” within the meaning of U.S. federal income tax laws.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interest on a bond is effectively connected with the conduct by a Non-U.S. holder of a trade or business in the United States and, if the Non-U.S. holder is entitled to the benefits under an applicable tax treaty, is attributable to a permanent establishment or a fixed base in the United States, then such income generally will be subject to U.S. federal income tax on a net income basis at the rates applicable to United States persons generally (and, if realized by corporate Non-U.S. holders, may also be subject to a branch profits tax at 30% or such lower rate as may be available pursuant to an applicable income tax treaty). If interest is subject to U.S. federal income tax on a net income basis in accordance with the rules described in the preceding sentence, payments of such interest will not be subject to U.S. federal withholding tax so long as the holder provides us or the paying agent with a properly completed IRS Form W-8ECI.</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Non-U.S. holder that does not qualify for an exemption from withholding under the preceding paragraphs generally will be subject to withholding of U.S. federal income tax at the rate of 30% (or lower applicable treaty rate if the Non-U.S. holder qualifies for such applicable treaty benefit and certifies such qualification via a Form W-8BEN or W-8BEN-E) on payments of interest on the bonds. We will not be obligated to make any “gross up” or additional payments in respect of amounts withheld on the bonds if we determine that we must so withhold in respect of the amounts described above.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may be required to periodically update their IRS forms.</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tax advisors concerning certification requirements and about any applicable income tax treaties, which may provide for an exemption from or a lower rate of withholding tax, exemption from or reduction of branch profits tax, or other rules different from those described above.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Bonds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withholding below, any gain realized by a Non-U.S. holder on the sale, exchange, redemption, retirement or other disposition of a bond generally will not be subject to U.S. federal income tax, unless:</w:t>
      </w:r>
    </w:p>
    <w:p>
      <w:pPr>
        <w:spacing w:after="0" w:line="67" w:lineRule="exact"/>
        <w:rPr>
          <w:sz w:val="20"/>
          <w:szCs w:val="20"/>
          <w:color w:val="auto"/>
        </w:rPr>
      </w:pPr>
    </w:p>
    <w:p>
      <w:pPr>
        <w:ind w:left="1080" w:right="3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Non-U.S. holder’s conduct of a trade or business in the United States and, if the Non-U.S. holder is entitled to the benefits under an applicable tax treaty, is attributable to a permanent establishment or a fixed base in the United States;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in the taxable year of the disposition (as determined under the Code) and certain other conditions are satisfied.</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 first bullet point applies, the Non-U.S. holder generally will be subject to U.S. federal income tax with respect to such gain in the same manner as U.S. holders, as described above, unless an applicable income tax treaty provides otherwise. In addition, if such Non-U.S. holder is classified as a corporation, such Non-U.S. holder may also be subject to the branch profits tax described above. If the second bullet point applies, the Non-U.S. holder generally will be subject to U.S. federal income tax at a rate of 30% (or at a reduced rate under an applicable income tax treaty) on the amount by which capital gains from U.S. sources (including gains from the sale, exchange, redemption, retirement or other disposition of the bonds) exceed capital losses allocable to U.S. sources arising in the taxable year.</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Gain realized on a disposition of a bond will not include amounts that represent accrued but unpaid interest, which will be treated as described under “—Payments on the Bonds” herein.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Payments of interest to a Non-U.S. holder generally will be reported to the IRS and to the Non-U.S. holder. Copies of applicable IRS information returns may be made available under the provisions of a specific tax treaty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or agreement to the tax authorities of the country in which the Non-U.S. holder resides. Non-U.S. holders are generally exempt from backup withholding, currently at a rate of 24%, and additional information reporting on payments of principal, premium (if any), or interest on a bond and the payment of proceeds from the sale of a bond, provided that the Non-U.S. holder (a) certifies its nonresident status on the appropriate IRS form (or a suitable substitute form) and certain other conditions are met or (b) otherwise establishes an exemption. Backup withholding is not an additional tax. Any backup withholding generally will be allowed as a credit or refund against the Non-U.S. holder’s U.S. federal income tax liability provided that the required information is timely furnished to the IRS.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Under the Foreign Account Tax Compliance Act provisions of the Code and related Treasury guidance (“FATCA”), a U.S. federal withholding tax of 30% will be imposed in certain circumstances on payments of interest on the bonds.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bond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We will not be obligated to make any “gross up” or additional payments in respect of amounts withheld on the bonds if we determine that we must so withhold in order to comply with FATCA in respect of the amounts described above.</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current provisions of the Code, FATCA withholding tax also can apply to payments of the gross proceeds from a sale or other disposition of obligations that produce U.S.-source interest, such as the bonds. Treasury regulations have been proposed, however, that would eliminate FATCA withholding tax on such gross proceeds. According to the preamble to such proposed Treasury regulations, taxpayers generally may rely on the proposed Treasury regulations until final Treasury regulations are issued (which regulations could be subject to change).</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Prospective purchasers of the bonds should consult their own tax advisors regarding the application of FATCA to the purchase, ownership and disposition of bonds in their particular circumstances.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intend to offer the bonds through the underwriters named below. Subject to the terms and conditions contained in an underwriting agreement, we have agreed to sell to the underwriters, for whom BNY Mellon Capital Markets, LLC, Regions Securities LLC, TD Securities (USA) LLC and Wells Fargo Securities, LLC are acting as representatives, and the underwriters have agreed to purchase from us, severally and not jointly, the principal amount of the bonds listed opposite their names below.</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BNY Mellon Capital Markets, LLC</w:t>
            </w:r>
          </w:p>
        </w:tc>
        <w:tc>
          <w:tcPr>
            <w:tcW w:w="1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bonds sold pursuant to the underwriting agreement if any of these bonds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bonds, subject to prior sale, when, as and if issued to and accepted by them, subject to approval of legal matters by their counsel, including the validity of the bonds,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will pay the underwriters a discount of    % per bond. The following table shows the total underwriting discount that we are to pay to the underwriters in connection with this offering.</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0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Paid by Us</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bond</w:t>
            </w:r>
          </w:p>
        </w:tc>
        <w:tc>
          <w:tcPr>
            <w:tcW w:w="6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gridSpan w:val="2"/>
          </w:tcPr>
          <w:p>
            <w:pPr>
              <w:jc w:val="right"/>
              <w:ind w:right="290"/>
              <w:spacing w:after="0"/>
              <w:rPr>
                <w:sz w:val="20"/>
                <w:szCs w:val="20"/>
                <w:color w:val="auto"/>
              </w:rPr>
            </w:pPr>
            <w:r>
              <w:rPr>
                <w:rFonts w:ascii="Times New Roman" w:cs="Times New Roman" w:eastAsia="Times New Roman" w:hAnsi="Times New Roman"/>
                <w:sz w:val="8"/>
                <w:szCs w:val="8"/>
                <w:color w:val="auto"/>
                <w:w w:val="74"/>
              </w:rPr>
              <w:t> </w:t>
            </w:r>
          </w:p>
        </w:tc>
      </w:tr>
    </w:tbl>
    <w:p>
      <w:pPr>
        <w:spacing w:after="0" w:line="17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Bonds sold by the underwriters to the public will initially be offered at the initial price to the public set forth on the cover of this prospectus supplement. Any bonds sold by the underwriters to securities dealers may be sold at a discount from the initial price to the public of up to        % of the principal amount of the bonds. Any such securities dealers may resell any bonds purchased from the underwriters to certain other brokers or dealers at a discount from the initial price to the public of up to        % of the principal amount of the bonds. If all the bonds are not sold at the initial price to the public, the underwriters may change the offering price and the other selling terms.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expenses of this offering, not including the underwriting discount, are estimated to be approximately $            and are payable by us.</w:t>
      </w:r>
    </w:p>
    <w:p>
      <w:pPr>
        <w:spacing w:after="0" w:line="22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bonds will form a single series with the existing bonds, which have a limited trading market. We do not intend to list the bonds on any securities exchange or seek their quotation on any automated dealer quotation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system. The underwriters have advised us that they intend to make a market in the bonds, but they are not obligated to do so. At their sole discretion, the underwriters may discontinue any market making in the bonds at any time without notice. Accordingly, we cannot assure you that a liquid trading market will develop for the bonds, that you will be able to sell your bonds at a particular time or that the price you receive when you sell will be favorable.</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bonds, the underwriters may engage in transactions that stabilize, maintain or otherwise affect the price of the bonds. Specifically, the underwriters may overallot in connection with the offering of the bonds, creating syndicate short positions. In addition, the underwriters may bid for and purchase bonds in the open market to cover syndicate short positions or to stabilize the price of the bonds. Finally, the underwriting syndicate may reclaim selling concessions allowed for distributing the bonds in this offering if the syndicate repurchases previously distributed bonds in syndicate covering transactions, stabilizing transactions or otherwise. Any of these activities may stabilize or maintain the market price of the bonds above independent market levels. The underwriters are not required to engage in any of these activities, and may end any of them at any time without notice.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In addition, BNY Mellon Capital Markets, LLC, one of the underwriters for this offering, is an affiliate of the trustee.</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In connection with these arrangements, affiliates of certain of the underwriters act as lenders. Certain of the underwriters and their respective affiliates are lenders or agents under a master revolving credit agreement entered into with Evergy, Evergy Kansas Central and two other subsidiaries of Evergy.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bonds offered hereby. Any such credit default swaps or short positions could adversely affect future trading prices of the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of the underwriters or their affiliates may hold a portion of our outstanding commercial paper that may be repaid using the net proceeds of this offering. In such event, it is possible that one or more of the underwriters or their affiliates could receive 5% or more of the net proceeds of this offering, and in that case such underwriter would be deemed to have a conflict of interest under FINRA Rule 5121 (Public Offerings of Securities with Conflicts of Interest). In the event of any such conflict of interest, such underwriter would be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required to conduct the distribution of the bonds in accordance with FINRA Rule 5121. If FINRA Rule 5121 is applicable, such underwriter would not be permitted to confirm a sale to an account over which it exercises discretionary authority without first receiving specific written approval from the account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Delivery of the bonds is expected to be made against payment therefor on or about the settlement date set forth on the cover page of this prospectus supplement, which will be the         business day following the date of this prospectus supplement (“T+  ”). Under Rule 15c6-1 under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T+  , to specify alternative settlement arrangements to prevent a failed settlement.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bonds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bonds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bonds are not intended to be offered, sold or otherwise made available to and should not be offered, sold or otherwise made available to any retail investor in the European Economic Area. For these purposes: (a) the expression “retail investor” means a person who is one (or more) of: (i) a retail client as defined in point (11) of Article 4(1) of Directive 2014/65/EU (as amended, “MiFID II”);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and (b)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Regulation (EU) No 1286/2014 (as amended, the “PRIIPs Regulation”) for offering or selling the bonds or otherwise making them available to retail investors in the European Economic Area has been prepared and therefore offering or selling the bonds or otherwise making them available to any retail investor in the European Economic Area may be unlawful under the PRIIPS Regulation.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bonds in any member state of the European Economic Area will be made pursuant to an exemption under the Prospectus Regulation from the requirement to publish a prospectus for offers of bonds. This prospectus supplement and the accompanying prospectus are not a prospectus for the purposes of the Prospectus Regulation.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bonds are not intended to be offered, sold or otherwise made available to and should not be offered, sold or otherwise made available to any retail investor in the United Kingdom (the “UK”). For these purposes: (a) the expression “retail investor” means a person who is one (or more) of: (i) a retail client, as defined in point (8) of Article 2 of Regulation (EU) No 2017/565 as it forms part of domestic law by virtue of the European Union (Withdrawal) Act 2018 (as amended, the “EUWA”);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and regulations made thereunder (the “UK Prospectus Regulation”); and (b)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the PRIIPs Regulation as it forms part of domestic law by virtue of the EUWA (the “UK PRIIPs Regulation”) for offering or selling the bonds or otherwise making them available to retail investors in the UK has been prepared and therefore offering or selling the bonds or otherwise making them available to any retail investor in the UK may be unlawful under the UK PRIIPs Regulation. This prospectus supplement has been prepared on the basis that any offer of the bonds in the UK will be made pursuant to an exemption under the FSMA and the UK Prospectus Regulation from the requirement to publish a prospectus for offers of the bonds. Neither this prospectus supplement nor the accompanying prospectus is a prospectus for the purposes of the FSMA or the UK Prospectus Regulation.</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for distribution only to persons in the United Kingdom who are qualified investors (as defined in the UK Prospectus Regulation) and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or (iii)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do not constitute a prospectus under the Israeli Securities Law, 5728-1968 (the “Securities Law”), and have not been filed with or approved by the Israel Securities Authority. In Israel, this prospectus supplement and the accompanying prospectus are being distributed only to, and are directed only at, and any offer of the bonds is directed only at (i) a limited number of persons in accordance with the Securities Law and (ii) investors listed in the first addendum (as it may be amended from time to time,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bonds have not been and will not be registered under the Financial Instruments and Exchange Law of Japan (Law No. 25 of 1948, as amended) (the “Financial Instruments and Exchange Law”) and the bonds have not been offered or sold and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the account or for the benefit of a resident of Japan, except pursuant to an exemption from the registration requirements of, and otherwise in compliance with, the Financial Instruments and Exchange Law and any other applicable laws, regulations and ministerial guidelines of Japan in effect at the relevant time.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bonds. The bonds may not be publicly offered, directly or indirectly, in Switzerland within the meaning of the Swiss Financial Services Act (“FinSA”) and no application has or will be made to admit the bonds to trading on any trading venue (exchange or multilateral trading facility) in Switzerland. Neither this prospectus supplement, the accompanying prospectus nor any other offering or marketing material relating to the bonds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bonds may be publicly distributed or otherwise made publicly available in Switzerland.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bonds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bonds in Taiwan.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bonds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bonds will be passed upon for us by Heather A. Humphrey, Senior Vice President, General Counsel and Corporate Secretary, of the Company, and Hunton Andrews Kurth LLP, New York, New York. Certain legal matters will be passed upon for the underwriters by Bracewell LLP, New York, New York. From time to time, Bracewell LLP acts as counsel for us or our affiliates for various matters. At November 14, 2025,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Evergy Kansas Central, Inc. and subsidiaries as of December 31, 2024 and 2023, and for each of the three years in the period ended December 31, 2024, incorporated by reference in this prospectus supplement, have been audited by Deloitte &amp; Touche LLP, an independent registered public accounting firm, as stated in their report, which is also incorporated by reference herein. Such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EVERGY KANSAS CENTRAL,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Unsecured Senior 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Unsecured Subordinated 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First Mortgage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These securities are not obligations of, or guaranteed by, Evergy, Inc., our corporate parent.</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Evergy Kansas Central, Inc. (“Evergy Kansas Central”) may offer and sell, from time to time, unsecured senior debt securities, unsecured subordinated debt securities and first mortgage bonds in one or more offerings. We may offer the securities simultaneously or at different times, in one or more separate series, in amounts, at prices and on terms to be determined at or prior to the time or times of sale.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these securities. We will provide specific information about the offerings and the terms of these securities in one or more supplements to this prospectus. The supplements may also add, update or change information contained in this prospectus. This prospectus may not be used to offer and sell our securities unless accompanied by a prospectus supplement. You should read this prospectus and the related prospectus supplements before you invest in these securities.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principal executive offices are located at 818 South Kansas Avenue, Topeka, Kansas 66612. Our telephone number is (785) 575-6300.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4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You should carefully consider the information referred to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5 of this prospectus.</w:t>
      </w:r>
    </w:p>
    <w:p>
      <w:pPr>
        <w:spacing w:after="0" w:line="16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16, 2024.</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106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4"/>
                <w:szCs w:val="14"/>
                <w:color w:val="0000EE"/>
              </w:rPr>
              <w:t>BOUT</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4"/>
                <w:szCs w:val="14"/>
                <w:color w:val="0000EE"/>
              </w:rPr>
              <w:t>HIS</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4"/>
                <w:szCs w:val="14"/>
                <w:color w:val="0000EE"/>
              </w:rPr>
              <w:t>ROSPECTUS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2"/>
        </w:trPr>
        <w:tc>
          <w:tcPr>
            <w:tcW w:w="10680" w:type="dxa"/>
            <w:vAlign w:val="bottom"/>
            <w:gridSpan w:val="13"/>
            <w:vMerge w:val="continue"/>
          </w:tcPr>
          <w:p>
            <w:pPr>
              <w:spacing w:after="0"/>
              <w:rPr>
                <w:sz w:val="14"/>
                <w:szCs w:val="14"/>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4"/>
                <w:szCs w:val="14"/>
                <w:color w:val="0000EE"/>
              </w:rPr>
              <w:t>AUTIONARY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TATEMENTS</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4"/>
                <w:szCs w:val="14"/>
                <w:color w:val="0000EE"/>
              </w:rPr>
              <w:t>EGARDING</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ERTAIN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ORWARD</w:t>
            </w:r>
            <w:r>
              <w:rPr>
                <w:rFonts w:ascii="Times New Roman" w:cs="Times New Roman" w:eastAsia="Times New Roman" w:hAnsi="Times New Roman"/>
                <w:sz w:val="18"/>
                <w:szCs w:val="18"/>
                <w:color w:val="0000EE"/>
              </w:rPr>
              <w:t>-</w:t>
            </w:r>
            <w:r>
              <w:rPr>
                <w:rFonts w:ascii="Times New Roman" w:cs="Times New Roman" w:eastAsia="Times New Roman" w:hAnsi="Times New Roman"/>
                <w:sz w:val="14"/>
                <w:szCs w:val="14"/>
                <w:color w:val="0000EE"/>
              </w:rPr>
              <w:t>LOOKING</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4"/>
                <w:szCs w:val="14"/>
                <w:color w:val="0000EE"/>
              </w:rPr>
              <w:t>NFORMATION</w:t>
            </w:r>
          </w:p>
        </w:tc>
        <w:tc>
          <w:tcPr>
            <w:tcW w:w="44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4"/>
                <w:szCs w:val="14"/>
                <w:color w:val="0000EE"/>
              </w:rPr>
              <w:t>VERGY</w:t>
            </w:r>
            <w:r>
              <w:rPr>
                <w:rFonts w:ascii="Times New Roman" w:cs="Times New Roman" w:eastAsia="Times New Roman" w:hAnsi="Times New Roman"/>
                <w:sz w:val="18"/>
                <w:szCs w:val="18"/>
                <w:color w:val="0000EE"/>
              </w:rPr>
              <w:t xml:space="preserve"> K</w:t>
            </w:r>
            <w:r>
              <w:rPr>
                <w:rFonts w:ascii="Times New Roman" w:cs="Times New Roman" w:eastAsia="Times New Roman" w:hAnsi="Times New Roman"/>
                <w:sz w:val="14"/>
                <w:szCs w:val="14"/>
                <w:color w:val="0000EE"/>
              </w:rPr>
              <w:t>ANSAS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ENTRAL</w:t>
            </w:r>
            <w:r>
              <w:rPr>
                <w:rFonts w:ascii="Times New Roman" w:cs="Times New Roman" w:eastAsia="Times New Roman" w:hAnsi="Times New Roman"/>
                <w:sz w:val="18"/>
                <w:szCs w:val="18"/>
                <w:color w:val="0000EE"/>
              </w:rPr>
              <w:t>, I</w:t>
            </w:r>
            <w:r>
              <w:rPr>
                <w:rFonts w:ascii="Times New Roman" w:cs="Times New Roman" w:eastAsia="Times New Roman" w:hAnsi="Times New Roman"/>
                <w:sz w:val="14"/>
                <w:szCs w:val="14"/>
                <w:color w:val="0000EE"/>
              </w:rPr>
              <w:t>NC</w:t>
            </w:r>
            <w:r>
              <w:rPr>
                <w:rFonts w:ascii="Times New Roman" w:cs="Times New Roman" w:eastAsia="Times New Roman" w:hAnsi="Times New Roman"/>
                <w:sz w:val="18"/>
                <w:szCs w:val="18"/>
                <w:color w:val="0000EE"/>
              </w:rPr>
              <w:t xml:space="preserve"> .</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R</w:t>
            </w:r>
            <w:r>
              <w:rPr>
                <w:rFonts w:ascii="Times New Roman" w:cs="Times New Roman" w:eastAsia="Times New Roman" w:hAnsi="Times New Roman"/>
                <w:sz w:val="14"/>
                <w:szCs w:val="14"/>
                <w:color w:val="0000EE"/>
              </w:rPr>
              <w:t>ISK</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ACTORS</w:t>
            </w:r>
          </w:p>
        </w:tc>
        <w:tc>
          <w:tcPr>
            <w:tcW w:w="1380" w:type="dxa"/>
            <w:vAlign w:val="bottom"/>
            <w:tcBorders>
              <w:top w:val="single" w:sz="8" w:color="0000EE"/>
            </w:tcBorders>
            <w:gridSpan w:val="6"/>
          </w:tcPr>
          <w:p>
            <w:pPr>
              <w:spacing w:after="0"/>
              <w:rPr>
                <w:sz w:val="17"/>
                <w:szCs w:val="17"/>
                <w:color w:val="auto"/>
              </w:rPr>
            </w:pPr>
          </w:p>
        </w:tc>
        <w:tc>
          <w:tcPr>
            <w:tcW w:w="82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4"/>
                <w:szCs w:val="14"/>
                <w:color w:val="0000EE"/>
              </w:rPr>
              <w:t>SE OF</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4"/>
                <w:szCs w:val="14"/>
                <w:color w:val="0000EE"/>
              </w:rPr>
              <w:t>ROCEEDS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4"/>
                <w:szCs w:val="14"/>
                <w:color w:val="0000EE"/>
              </w:rPr>
              <w:t>ESCRIPTION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4"/>
                <w:szCs w:val="14"/>
                <w:color w:val="0000EE"/>
              </w:rPr>
              <w:t>EBT</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ECURITIES</w:t>
            </w:r>
          </w:p>
        </w:tc>
        <w:tc>
          <w:tcPr>
            <w:tcW w:w="80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4"/>
                <w:szCs w:val="14"/>
                <w:color w:val="0000EE"/>
              </w:rPr>
              <w:t>ESCRIPTION OF</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IRST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ORTGAGE</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4"/>
                <w:szCs w:val="14"/>
                <w:color w:val="0000EE"/>
              </w:rPr>
              <w:t>ONDS</w:t>
            </w:r>
          </w:p>
        </w:tc>
        <w:tc>
          <w:tcPr>
            <w:tcW w:w="75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B</w:t>
            </w:r>
            <w:r>
              <w:rPr>
                <w:rFonts w:ascii="Times New Roman" w:cs="Times New Roman" w:eastAsia="Times New Roman" w:hAnsi="Times New Roman"/>
                <w:sz w:val="14"/>
                <w:szCs w:val="14"/>
                <w:color w:val="0000EE"/>
              </w:rPr>
              <w:t>OOK</w:t>
            </w:r>
            <w:r>
              <w:rPr>
                <w:rFonts w:ascii="Times New Roman" w:cs="Times New Roman" w:eastAsia="Times New Roman" w:hAnsi="Times New Roman"/>
                <w:sz w:val="18"/>
                <w:szCs w:val="18"/>
                <w:color w:val="0000EE"/>
              </w:rPr>
              <w:t>-</w:t>
            </w:r>
            <w:r>
              <w:rPr>
                <w:rFonts w:ascii="Times New Roman" w:cs="Times New Roman" w:eastAsia="Times New Roman" w:hAnsi="Times New Roman"/>
                <w:sz w:val="14"/>
                <w:szCs w:val="14"/>
                <w:color w:val="0000EE"/>
              </w:rPr>
              <w:t>ENTRY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YSTEM</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4"/>
                <w:szCs w:val="14"/>
                <w:color w:val="0000EE"/>
              </w:rPr>
              <w:t>LAN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4"/>
                <w:szCs w:val="14"/>
                <w:color w:val="0000EE"/>
              </w:rPr>
              <w:t>ISTRIBUTION</w:t>
            </w:r>
          </w:p>
        </w:tc>
        <w:tc>
          <w:tcPr>
            <w:tcW w:w="89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L</w:t>
            </w:r>
            <w:r>
              <w:rPr>
                <w:rFonts w:ascii="Times New Roman" w:cs="Times New Roman" w:eastAsia="Times New Roman" w:hAnsi="Times New Roman"/>
                <w:sz w:val="14"/>
                <w:szCs w:val="14"/>
                <w:color w:val="0000EE"/>
              </w:rPr>
              <w:t>EGAL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ATTERS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4"/>
                <w:szCs w:val="14"/>
                <w:color w:val="0000EE"/>
              </w:rPr>
              <w:t>XPERTS</w:t>
            </w:r>
          </w:p>
        </w:tc>
        <w:tc>
          <w:tcPr>
            <w:tcW w:w="600" w:type="dxa"/>
            <w:vAlign w:val="bottom"/>
            <w:tcBorders>
              <w:top w:val="single" w:sz="8" w:color="0000EE"/>
            </w:tcBorders>
            <w:gridSpan w:val="2"/>
          </w:tcPr>
          <w:p>
            <w:pPr>
              <w:spacing w:after="0"/>
              <w:rPr>
                <w:sz w:val="17"/>
                <w:szCs w:val="17"/>
                <w:color w:val="auto"/>
              </w:rPr>
            </w:pPr>
          </w:p>
        </w:tc>
        <w:tc>
          <w:tcPr>
            <w:tcW w:w="942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w:t>
            </w:r>
            <w:r>
              <w:rPr>
                <w:rFonts w:ascii="Times New Roman" w:cs="Times New Roman" w:eastAsia="Times New Roman" w:hAnsi="Times New Roman"/>
                <w:sz w:val="14"/>
                <w:szCs w:val="14"/>
                <w:color w:val="0000EE"/>
              </w:rPr>
              <w:t>HERE</w:t>
            </w:r>
            <w:r>
              <w:rPr>
                <w:rFonts w:ascii="Times New Roman" w:cs="Times New Roman" w:eastAsia="Times New Roman" w:hAnsi="Times New Roman"/>
                <w:sz w:val="18"/>
                <w:szCs w:val="18"/>
                <w:color w:val="0000EE"/>
              </w:rPr>
              <w:t xml:space="preserve"> Y</w:t>
            </w:r>
            <w:r>
              <w:rPr>
                <w:rFonts w:ascii="Times New Roman" w:cs="Times New Roman" w:eastAsia="Times New Roman" w:hAnsi="Times New Roman"/>
                <w:sz w:val="14"/>
                <w:szCs w:val="14"/>
                <w:color w:val="0000EE"/>
              </w:rPr>
              <w:t>OU</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AN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IND</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ORE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4"/>
                <w:szCs w:val="14"/>
                <w:color w:val="0000EE"/>
              </w:rPr>
              <w:t>NFORMATION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BOUT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ROSPECTUS</w:t>
      </w:r>
    </w:p>
    <w:p>
      <w:pPr>
        <w:spacing w:after="0" w:line="22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This prospectus is part of a registration statement filed with the Securities and Exchange Commission (the “SEC”) utilizing a “shelf” registration process. By using this process, we may, from time to time, sell any combination of the securities described in this prospectus in one or more offerings.</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described in more detail below under “Where You Can Find More Information,” we, Evergy, Inc. (“Evergy”), our parent company, and another wholly-owned subsidiary of Evergy, separately file combined reports under the Securities Exchange Act of 1934, as amended (the “Exchange Act”). However, only the information related to Evergy Kansas Central and its consolidated subsidiaries is incorporated by reference in this prospectus. You should not rely on any information relating solely to Evergy or its subsidiaries (other than Evergy Kansas Central and its consolidated subsidiaries and the information provided separately by Evergy Kansas Central or its consolidated subsidiaries) in determining whether to invest in any securities offered hereby. The securities are not guaranteed by Evergy or any of its or our subsidiaries. None of those entities has any obligation to make any capital contribution or distributions or to advance funds to us for the purpose of paying the principal of, or premium, if any, or interest on, the securities or any other amount that may be required to be paid under any indenture, preventing or curing an event of default under the terms of any indenture, complying with any other obligation under any indenture or the securities or otherwise.</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or as otherwise indicated, when we refer to “Evergy Kansas Central,” or “we,” “us,” “our” or comparable terms, we mean Evergy Kansas Central, Inc., and when we refer to “Evergy Kansas South,” we mean Evergy Kansas South, Inc. Additionally, when we refer to Evergy Companies we mean, collectively, Evergy, Inc., Evergy Kansas Central, Inc. and Evergy Metro, Inc. (“Evergy Metro”).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AUTIONARY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ORWARD</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OOKING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8"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from time to time in the Annual Report on Form 10-K for the year ended December 31, 2023 filed by Evergy Kansas Central with the SEC, and from time to time in current reports on Form 8-K and quarterly reports on Form 10-Q filed by Evergy Kansas Central with the SEC. Each forward-looking statement speaks only as of the date of the particular statement. Evergy Kansas Central undertakes no obligation to publicly update or revise any forward-looking statement, whether as a result of new information, future events or otherwise, except as required by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VERGY</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4"/>
          <w:szCs w:val="14"/>
          <w:b w:val="1"/>
          <w:bCs w:val="1"/>
          <w:color w:val="auto"/>
        </w:rPr>
        <w:t>ANSAS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ENTRAL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Evergy Kansas Central, Inc. is an integrated, regulated electric utility that provides electricity to customers in the state of Kansas. Evergy Kansas Central has one active wholly owned subsidiary with significant operations, Evergy Kansas South, Inc.</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818 South Kansas Avenue, Topeka, Kansas 66612. Our telephone number is (785) 575-6300. Our parent company maintains a website at www.evergy.com where general information about us is available. Our parent company’s Internet site and the information contained therein or connected thereto are not intended to be incorporated into this prospectus and should not be considered a part of this prospectus.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55" w:right="5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ACTORS</w:t>
      </w:r>
    </w:p>
    <w:p>
      <w:pPr>
        <w:spacing w:after="0" w:line="22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w:t>
      </w:r>
    </w:p>
    <w:p>
      <w:pPr>
        <w:spacing w:after="0" w:line="4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prospectus supplement relating to any securities we are offering;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67">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by reference into this prospectus;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our Quarterly Reports on Form 10-Q for the quarterly periods ended March 31, 2024 and June 30, 2024, filed with the SEC on </w:t>
        </w:r>
        <w:r>
          <w:rPr>
            <w:rFonts w:ascii="Times New Roman" w:cs="Times New Roman" w:eastAsia="Times New Roman" w:hAnsi="Times New Roman"/>
            <w:sz w:val="18"/>
            <w:szCs w:val="18"/>
            <w:u w:val="single" w:color="auto"/>
            <w:color w:val="0000EE"/>
          </w:rPr>
          <w:t>May 9,</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August 9, 2024</w:t>
        </w:r>
      </w:hyperlink>
      <w:hyperlink r:id="rId68">
        <w:r>
          <w:rPr>
            <w:rFonts w:ascii="Times New Roman" w:cs="Times New Roman" w:eastAsia="Times New Roman" w:hAnsi="Times New Roman"/>
            <w:sz w:val="18"/>
            <w:szCs w:val="18"/>
            <w:color w:val="000000"/>
          </w:rPr>
          <w:t>, respectively, and incorporated by reference into this prospectus; and</w:t>
        </w:r>
      </w:hyperlink>
    </w:p>
    <w:p>
      <w:pPr>
        <w:spacing w:after="0" w:line="67" w:lineRule="exact"/>
        <w:rPr>
          <w:rFonts w:ascii="Times New Roman" w:cs="Times New Roman" w:eastAsia="Times New Roman" w:hAnsi="Times New Roman"/>
          <w:sz w:val="18"/>
          <w:szCs w:val="18"/>
          <w:color w:val="0000EE"/>
        </w:rPr>
      </w:pPr>
    </w:p>
    <w:p>
      <w:pPr>
        <w:ind w:left="5580" w:hanging="4924"/>
        <w:spacing w:after="0" w:line="454" w:lineRule="auto"/>
        <w:tabs>
          <w:tab w:leader="none" w:pos="10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that we file with the SEC after the date of this prospectus and that are deemed incorporated by reference into this prospectus. 5</w:t>
      </w:r>
    </w:p>
    <w:p>
      <w:pPr>
        <w:sectPr>
          <w:pgSz w:w="11900" w:h="16838" w:orient="portrait"/>
          <w:cols w:equalWidth="0" w:num="1">
            <w:col w:w="10900"/>
          </w:cols>
          <w:pgMar w:left="320" w:top="455" w:right="6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ROCEEDS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a supplement to this prospectus, we anticipate using any net proceeds received by us from the issuance of any of the offered securities for general corporate purposes, including, among others:</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retirement or refinancing of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construction expenditures;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debt securities, consisting of notes, debentures or other evidence of indebtedness, may be issued from time to time in one or more series:</w:t>
      </w:r>
    </w:p>
    <w:p>
      <w:pPr>
        <w:spacing w:after="0" w:line="131" w:lineRule="exact"/>
        <w:rPr>
          <w:sz w:val="20"/>
          <w:szCs w:val="20"/>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senior debt securities, under a senior indenture dated August 1, 1998, which we refer to as the senior indenture, between us and Deutsche Bank Trust Company Americas, formerly known as Bankers Trust Company, as trustee (the trustee);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under a subordinated indenture, which we refer to as the subordinated indenture, to be entered into between us and The Bank of New York Mellon Trust Company, N.A., as trustee.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is included, and the subordinated indenture will be substantially in the form included, as exhibits to the registration statement of which this prospectus is a part.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this prospectus under the caption “Description of Debt Securities,” the terms “we,” “us” and “our” refer solely to Evergy Kansas Central, Inc. and such references do not include any subsidiaries or affiliates (including the parent company) of Evergy Kansas Central, Inc.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54" w:lineRule="exact"/>
        <w:rPr>
          <w:sz w:val="20"/>
          <w:szCs w:val="20"/>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Evergy Kansas Central or any third party including any sinking fund;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00" w:hanging="3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debt securities and issue additional debt securities of such series; and</w:t>
      </w:r>
    </w:p>
    <w:p>
      <w:pPr>
        <w:spacing w:after="0" w:line="225" w:lineRule="exact"/>
        <w:rPr>
          <w:rFonts w:ascii="Times New Roman" w:cs="Times New Roman" w:eastAsia="Times New Roman" w:hAnsi="Times New Roman"/>
          <w:sz w:val="18"/>
          <w:szCs w:val="18"/>
          <w:color w:val="auto"/>
        </w:rPr>
      </w:pPr>
    </w:p>
    <w:p>
      <w:pPr>
        <w:ind w:left="120" w:right="200" w:firstLine="436"/>
        <w:spacing w:after="0" w:line="312" w:lineRule="auto"/>
        <w:tabs>
          <w:tab w:leader="none" w:pos="90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bearer debt securities or uncertificated debt securities, and in such denominations as specified in the terms of the series. In connection with its original issuance, no bearer security will be offered, sold or delivered to any location in the United States, and a bearer security in definitive form may be delivered in connection with its original issuance only upon presentation of a certificate in a form prescribed by Evergy Kansas Central to comply with United States laws and regulations. 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indentures.</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Securities may be issued under the senior or subordinated indentures as Discounted Debt Securities to be offered and sold at a substantial discount from the principal amount thereof. “Discounted Debt Security” means a security where the amount of principal due upon acceleration is less than the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only have a shareholder’s claim on the assets of our subsidiaries. This shareholder’s claim is junior to the claims that creditors of our subsidiaries have against our subsidiaries (other than subsidiary guarantors). Holders of our debt securities are our creditors and not creditors of any of our subsidiaries (other than subsidiary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guarantors). As a result, all the existing and future liabilities of our subsidiaries (other than any subsidiary guarantors with respect to any series of debt securities that may be guaranteed), including any claims of their creditors, are structurally senior to the debt securities with respect to the assets of our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pay our obligations, including our obligation to pay interest on the debt securities, to repay the principal amount of the debt securities at maturity or upon redemption or to buy back the debt securities will depend in part upon our subsidiaries’ earnings and their distribution of those earnings to us and upon our subsidiaries repaying investments and advances we have made to them. Our subsidiaries are separate and distinct legal entities and, except for any subsidiary guarantors with respect to any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are unsecured obligations. Our secured debt is effectively senior to the debt securities to the extent of the value of the assets securing such secured debt. Substantially all of our utility assets are subject to liens under the mortgage pursuant to which we have issued our first mortgage bonds.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may be fully and unconditionally guaranteed by one or more of our wholly-owned subsidiaries named in a prospectus supplement. Such guarantees will rank equally with all other general unsecured and unsubordinated obligations of such subsidiary guarantors.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covenants which may apply to a particular series of senior debt securities will be described in the prospectus supplement relating thereto.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Successor Obligor</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unless otherwise specified in the securities resolution or supplemental indenture establishing a series of senior debt securities, we shall not consolidate with or merge into, or transfer all or substantially all of its assets to, any person in any transaction in which we are not the survivor, unless:</w:t>
      </w:r>
    </w:p>
    <w:p>
      <w:pPr>
        <w:spacing w:after="0" w:line="68" w:lineRule="exact"/>
        <w:rPr>
          <w:sz w:val="20"/>
          <w:szCs w:val="20"/>
          <w:color w:val="auto"/>
        </w:rPr>
      </w:pPr>
    </w:p>
    <w:p>
      <w:pPr>
        <w:ind w:left="120" w:right="540" w:firstLine="43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senior indenture, the senior debt securities and any coupons;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approvals of any regulatory body having jurisdiction over the transaction shall have been obtained; and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in “—Default and Remedies”) exists.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successor shall be substituted for us, and thereafter all our obligations under the senior indenture, the senior debt securities and any coupons shall terminate.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of Debt Securities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Registered senior debt securities may be exchanged for an equal aggregate principal amount of registered senior debt securities of the same series and date of maturity in such authorized denominations as may be requested upon surrender of the registered senior debt securities at an agency maintained by us for such purpose and upon fulfillment of all other requirements of such agent.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Default and Remedies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senior debt securities will occur if:</w:t>
      </w:r>
    </w:p>
    <w:p>
      <w:pPr>
        <w:spacing w:after="0" w:line="54" w:lineRule="exact"/>
        <w:rPr>
          <w:sz w:val="20"/>
          <w:szCs w:val="20"/>
          <w:color w:val="auto"/>
        </w:rPr>
      </w:pPr>
    </w:p>
    <w:p>
      <w:pPr>
        <w:ind w:left="120" w:right="22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any payment of interest on any senior debt securities of such series when the same becomes due and payable and the default continues for a period of 60 days;</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the payment of the principal and premium, if any, of any senior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the payment or satisfaction of any sinking fund obligation with respect to any senior debt securities of such series as required by the securities resolution or supplemental indenture establishing such series and the default continues for a period of 60 days;</w:t>
      </w:r>
    </w:p>
    <w:p>
      <w:pPr>
        <w:spacing w:after="0" w:line="161"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the performance of any of its other agreements applicable to the series and the default continues for 90 days after the notice specified below;</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for it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an Obligor in an involuntary case;</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for an Obligor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an Obligor, and the order or decree remains unstayed and in effect for 60 days;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(4) above is not an Event of Default until the trustee or the holders of at least 33-1/3% in principal amount of the series notify us of the Default and we do not cure the Default within the time specified after receipt of the notice.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section, the term “Obligor” shall mean each of us and any subsidiary guarantor identified in a securities resolution or supplemental indenture, in each case excluding such entity’s subsidiaries.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on a series, the trustee by notice to Evergy Kansas Central, or the holders of at least 33-1/3% in principal amount of the series by notice to Evergy Kansas Central and the trustee, may declare the principal of and accrued interest on all the securities of the series to be due and payable immediately. Discounted debt securities may provide that the amount of principal due upon acceleration is less than the stated principal amount.</w:t>
      </w:r>
    </w:p>
    <w:p>
      <w:pPr>
        <w:spacing w:after="0" w:line="180"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senior indenture or the senior debt securities of the series. Subject to certain limitations, holders of a majority in principal amount of the senior debt securities of the series may direct the trustee in its exercise of any trust or power with respect to such series. The trustee is required, within 90 days after the occurrence thereof, to give to the holders of the senior debt securities notice of all Defaults actually known to the trustee, as provided in the applicable indenture, to have occurred and be continuing. Except in the case of Default in payment on a series, the trustee may withhold from holders of such series notice of any continuing Default if the trustee determines that withholding notice is in the interest of such holders. We are required to furnish the trustee annually a brief certificate as to our compliance with all conditions and covenants under the senior indenture.</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failure to redeem any senior debt securities when such redemption is subject to the occurrence of a condition prior to redemption, is not an Event of Default if any event on which such redemption is so conditioned does not occur and is not waived before the scheduled redemption date.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does not have a cross-default provision. Thus, a default by any Obligor on any other debt, including any other series of senior debt securities, would not constitute an Event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Waivers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senior debt securities and the senior indenture may be amended with the consent of the holders of a majority in principal amount of the senior debt securities of all series affected voting as one class. Unless the securities resolution or supplemental indenture otherwise provides (in which event the applicable prospectus supplement will so state), a Default on a particular series may be waived with the consent of the holders of a majority in principal amount of the senior debt securities of the series, except for a Default in payment of interest or principal or a Default in respect of a provision of the senior indenture that cannot be amended without the consent of each holder affected. However, without the consent of each holder affected, no amendment or waiver may:</w:t>
      </w:r>
    </w:p>
    <w:p>
      <w:pPr>
        <w:spacing w:after="0" w:line="81" w:lineRule="exact"/>
        <w:rPr>
          <w:sz w:val="20"/>
          <w:szCs w:val="20"/>
          <w:color w:val="auto"/>
        </w:rPr>
      </w:pPr>
    </w:p>
    <w:p>
      <w:pPr>
        <w:ind w:left="820" w:hanging="2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senior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on or change the time for payment of interest on any senior debt security;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any senior debt security;</w:t>
      </w:r>
    </w:p>
    <w:p>
      <w:pPr>
        <w:spacing w:after="0" w:line="225"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any non-Discounted Debt Security or reduce the amount of the principal of any Discounted Debt Security that would be due on acceleration thereof;</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or interest on a senior debt security is payable;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senior debt security; or</w:t>
      </w:r>
    </w:p>
    <w:p>
      <w:pPr>
        <w:spacing w:after="0" w:line="225" w:lineRule="exact"/>
        <w:rPr>
          <w:rFonts w:ascii="Times New Roman" w:cs="Times New Roman" w:eastAsia="Times New Roman" w:hAnsi="Times New Roman"/>
          <w:sz w:val="18"/>
          <w:szCs w:val="18"/>
          <w:color w:val="auto"/>
        </w:rPr>
      </w:pPr>
    </w:p>
    <w:p>
      <w:pPr>
        <w:jc w:val="both"/>
        <w:ind w:left="120" w:right="400" w:firstLine="43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senior indenture regarding waiver of Defaults and amendments, except to increase the amount of senior debt securities whose holders must consent to an amendment or waiver, or to provide that other provisions of the senior indenture cannot be amended or waived without the consent of each holder affected thereby.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Without the consent of any holder, the senior indenture or the senior debt securities may be amended:</w:t>
      </w:r>
    </w:p>
    <w:p>
      <w:pPr>
        <w:spacing w:after="0" w:line="225" w:lineRule="exact"/>
        <w:rPr>
          <w:sz w:val="20"/>
          <w:szCs w:val="20"/>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specific provisions of the indenture shall not apply to a series of senior debt securities not previously issued;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a series and establish its terms;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for one or more series;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materially adversely affect the rights of any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 and Covenant Defeasance</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Senior 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senior debt securities and coupons and to maintain paying agencies in respect of the debt securities) with respect to the senior debt securities of the series and any related coupons and the senior indenture (legal defeasance). We at any time may terminate as to a series our obligations with respect to any restrictive covenants which may be applicable to a particular series (covenant defeasance).</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(the defeasance trust) with the trustee or another trustee, money or U.S. Government Obligations, (2) deliver a certificate from a public accounting firm registered with the Public Company Accounting Oversight Board, expressing such firm’s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senior debt securities of such series to maturity or redemption, as the case may be, and (3) comply with certain other conditions as provided in the applicable indenture. In particular, we must obtain an opinion of tax counsel that the defeasance will not result in recognition of any gain or loss to holders for Federal income tax purposes.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Regarding the Trustee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applicable trustee will also act as transfer agent and paying agent with respect to the senior debt securities and the subordinated debt securities. We may remove the trustee with or without cause if we so notify the trustee three months in advance and if no Default occurs during the three-month period. The trustee provides services to us as a depository of funds, registrar, trustee and similar services.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is subordinate to the prior payment in full of all our Senior Indebtedness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92" w:lineRule="exact"/>
        <w:rPr>
          <w:sz w:val="20"/>
          <w:szCs w:val="20"/>
          <w:color w:val="auto"/>
        </w:rPr>
      </w:pPr>
    </w:p>
    <w:p>
      <w:pPr>
        <w:jc w:val="both"/>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term “Senior Indebtedness” of a person means with respect to such person the principal of, premium, if any, and interest on, and any other payment due pursuant to any of the following, whether outstanding on the date of the subordinated indenture or incurred by that person in the future:</w:t>
      </w:r>
    </w:p>
    <w:p>
      <w:pPr>
        <w:spacing w:after="0" w:line="45" w:lineRule="exact"/>
        <w:rPr>
          <w:sz w:val="20"/>
          <w:szCs w:val="20"/>
          <w:color w:val="auto"/>
        </w:rPr>
      </w:pPr>
    </w:p>
    <w:p>
      <w:pPr>
        <w:ind w:left="1080" w:right="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 including any indebtedness secured by a mortgage, conditional sales contract or other lien which is (1) given to secure all or part of the purchase price of property subject thereto, whether given to the vendor of that property or to another lender, or (2) existing on property at the time that person acquires 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which are capitalized on the books of that person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subsidiary guarantor to which we and such guarantor are a party, including our, and the subsidiary guarantors’, guarantees of each others’ debt securities and other indebtedness for borrowed money, constitute Senior Indebtedness for purposes of the subordinated debt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is, and any senior debt securities will be, governed by New York law. The subordinated indenture and any subordinated debt securities will be governed by New York law.</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ORTGAGE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ONDS</w:t>
      </w:r>
    </w:p>
    <w:p>
      <w:pPr>
        <w:spacing w:after="0" w:line="229"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first mortgage bonds will be issued under and secured by the Mortgage and Deed of Trust, dated July 1, 1939, between us and The Bank of New York Mellon Trust Company, N.A., as successor to BNY Midwest Trust Company, as successor to Harris Trust and Savings Bank, as trustee, as previously supplemented and amended by supplemental indentures. We refer to the original mortgage, as so supplemented and amended, as the mortgage. All the first mortgage bonds issued or issuable under the mortgage are referred to as the “bonds.” We have summarized below the material provisions of the mortgage and the bonds or indicated which material provisions will be described in the related prospectus supplement. These descriptions are only summaries, and you should refer to the mortgage itself, which describes completely the terms and definitions summarized below and contains additional information about the bonds.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Bonds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68" w:lineRule="exact"/>
        <w:rPr>
          <w:sz w:val="20"/>
          <w:szCs w:val="20"/>
          <w:color w:val="auto"/>
        </w:rPr>
      </w:pPr>
    </w:p>
    <w:p>
      <w:pPr>
        <w:ind w:left="120" w:right="460" w:firstLine="43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(so long as any bonds issued prior to January 1, 1997 remain outstanding, and thereafter 70%) of the net bondable value of property additions not subject to an unfunded prior lien;</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bonds retired or to be retired (except out of trust monies); and</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deposited with the trustee for such purpose, which may thereafter be withdrawn upon the same basis that additional bonds are issuable under clause (1) or (2)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bonds may not be issued on the basis of property additions subject to an unfunded prior lien.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restrictions discussed above, so long as any bonds issued prior to January 1, 1997 remain outstanding, additional bonds may not be issued unless our unconsolidated net earnings available for interest, depreciation and property retirements for a period of any 12 consecutive months during the period of 15 calendar months immediately preceding the first day of the month in which the application for authentication and delivery of additional bonds is made shall have been not less than the greater of two times (two and one-half times after all bonds issued prior to January 1, 1997 are no longer outstanding) the annual interest charges on, and 10% of the principal amount of, all bonds then outstanding, all additional bonds then applied for, all outstanding prior lien bonds and all prior lien bonds, if any, then being applied for. Bonds canceled at or prior to the time application is made for the issuance of new bonds are not deemed to be outstanding for purposes of calculating interest charges in determining whether the net earnings test is met for the issuance of additional bonds. Bonds or prior lien bonds for which monies sufficient for the payment thereof have been deposited with the trustee are not considered outstanding for this purpose.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earnings test referred to in the previous paragraph need not be satisfied to issue additional bonds:</w:t>
      </w:r>
    </w:p>
    <w:p>
      <w:pPr>
        <w:spacing w:after="0" w:line="131" w:lineRule="exact"/>
        <w:rPr>
          <w:sz w:val="20"/>
          <w:szCs w:val="20"/>
          <w:color w:val="auto"/>
        </w:rPr>
      </w:pPr>
    </w:p>
    <w:p>
      <w:pPr>
        <w:ind w:left="1080" w:right="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property additions subject to an unfunded prior lien which simultaneously will become a funded prior lien, if application for the issuance of the additional bonds is made at any time after a date two years prior to the date of the maturity of the bonds secured by the prior lien;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payment at maturity of bonds heretofore issued by us, or the redemption, conversion or purchase of bonds, after a date two years prior to the date on which those bonds mature.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reserved the right to amend the mortgage to eliminate the foregoing requirement. See “—Modification of the Mortgage.”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Release and Substitution of Property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60% (so long as any bonds issued prior to January 1, 1997 remain outstanding, and thereafter 70%), or the deposit with the trustee of bonds we have acquired. The mortgage contains special provisions with respect to the release of all or substantially all of our gas and electric properties. We have reserved the right to amend the mortgage to change the release and substitution provisions. See “—Modification of the Mortgage.”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Priority and Security</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bonds when issued will be secured, equally and ratably with all of the bonds now outstanding or hereafter issued under the mortgage, by the lien on substantially all of our fixed property and franchises purported to be conveyed by the mortgage including after-acquired property of the character intended to be mortgaged property, subject to the exceptions referred to below, to certain minor leases and easements, permitted liens, exceptions and reservations in the instruments by which we acquired title to our property and the prior lien of the trustee for compensation, expenses and liability.</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Excepted from the lien of the mortgage are:</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or operating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 pledged under the mortgage;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energy, gas, water, materials and supplies held for consumption in operation or held in advance of use for fixed capital purposes;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appliances and supplies held for resale or lease to customers.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There is further expressly excepted any property of any other corporation, all the securities of which may be owned or later acquired by us. The lien of the mortgage does not apply to property of Evergy Kansas South so long as Evergy Kansas South remains our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to the stock of Evergy Kansas South owned by us or to the stock of any of our other subsidiaries. The mortgage permits our consolidation or merger with, or the conveyance of all or substantially all of our property to, any other corporation; provided, among other things, that the successor corporation assumes the due and punctual payment of the principal and interest on the bonds of all series then outstanding under the mortgage and assumes the due and punctual performance of all the covenants and conditions of the mortgage.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only have a shareholder’s claim on the assets of our subsidiaries. This shareholder’s claim is junior to the claims that creditors of our subsidiaries have against our subsidiaries. Holders of our bonds are our creditors and not creditors of any of our subsidiaries. As a result, all the existing and future liabilities of our subsidiaries, including any claims of their creditors, are structurally senior to the bonds with respect to the assets of our subsidiaries.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bonds are our obligations exclusively. To the extent that our ability to service our debt, including the bonds, may be dependent upon the earnings of our subsidiaries, our ability to do so will be dependent on the ability of our subsidiaries to distribute those earnings to us as dividends, loans or other payments. Our subsidiaries are separate and distinct legal entities and have no obligation, contingent or otherwise, to pay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amounts due on the bonds or to make funds available to us to do so. Our subsidiaries’ ability to pay dividends or make other payments or advances to us will depend upon their operating results and will be subject to applicable laws and contractual restrictions. The mortgages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Mortgage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mortgage may be modified or altered, subject to our rights and obligations and the rights of holders of bonds, by the written consent of the holders of at least 60% in principal amount of all of the bonds outstanding thereunder, and, if the rights of one or more, but less than all, series of bonds then outstanding are to be affected by action taken pursuant to such consent, then also by consent of the holders of at least 60% in principal amount of each series of bonds so affected. No modification or alteration may be made which will permit the extension of the time or times of payment of the principal of, and premium, if any, or interest (including additional interest) on, any bond or a reduction in the rate of interest thereon, or otherwise affect the terms of payment of the principal of, and premium, if any, or interest (including additional interest) on, any bond or a reduction in the rate of interest thereon or reduce the percentages required for the taking of any action thereunder. Bonds owned by us or any affiliated corporation are excluded for the purpose of any vote, determination of a quorum or consent.</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mortgage also provides that without the consent of any holder of any bond issued thereunder, the right of such holder to receive payment of the principal of, and premium, if any, or interest (including additional interest) on, on or after the respective due dates expressed in such bond, or to institute suit for the enforcement of any payment on or after such respective due dates shall not be impaired or affected.</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reserved the right, subject to appropriate corporate action, but without the consent or other action of holders of bonds of any series created after January 1, 1997, to make amendments to the mortgage to permit, unless an event of default shall have happened and be continuing, or shall happen as a result of making or granting an application:</w:t>
      </w:r>
    </w:p>
    <w:p>
      <w:pPr>
        <w:spacing w:after="0" w:line="68" w:lineRule="exact"/>
        <w:rPr>
          <w:sz w:val="20"/>
          <w:szCs w:val="20"/>
          <w:color w:val="auto"/>
        </w:rPr>
      </w:pPr>
    </w:p>
    <w:p>
      <w:pPr>
        <w:ind w:left="120" w:right="160" w:firstLine="436"/>
        <w:spacing w:after="0" w:line="261"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w:t>
      </w:r>
    </w:p>
    <w:p>
      <w:pPr>
        <w:spacing w:after="0" w:line="179" w:lineRule="exact"/>
        <w:rPr>
          <w:rFonts w:ascii="Times New Roman" w:cs="Times New Roman" w:eastAsia="Times New Roman" w:hAnsi="Times New Roman"/>
          <w:sz w:val="18"/>
          <w:szCs w:val="18"/>
          <w:color w:val="auto"/>
        </w:rPr>
      </w:pPr>
    </w:p>
    <w:p>
      <w:pPr>
        <w:ind w:left="120" w:right="180" w:firstLine="436"/>
        <w:spacing w:after="0" w:line="261"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deletion of the net earnings test for the issuance of additional bonds or merging into another company;</w:t>
      </w:r>
    </w:p>
    <w:p>
      <w:pPr>
        <w:spacing w:after="0" w:line="225"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deletion of a financial test to be met by another corporation in the event of our consolidation or merger into or our sale of our property as an entirety or substantially as an entirety to such other corporation; and</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deletion of the requirement to obtain an independent engineer’s certificate in connection with certain releases of property from the lien of the mortgage.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also reserved the right, subject to appropriate corporate action, but without the consent or other action of holders of bonds of any series created on or after June 1, 2004, to:</w:t>
      </w:r>
    </w:p>
    <w:p>
      <w:pPr>
        <w:spacing w:after="0" w:line="54" w:lineRule="exact"/>
        <w:rPr>
          <w:sz w:val="20"/>
          <w:szCs w:val="20"/>
          <w:color w:val="auto"/>
        </w:rPr>
      </w:pPr>
    </w:p>
    <w:p>
      <w:pPr>
        <w:jc w:val="both"/>
        <w:ind w:left="120" w:right="40" w:firstLine="436"/>
        <w:spacing w:after="0" w:line="261" w:lineRule="auto"/>
        <w:tabs>
          <w:tab w:leader="none" w:pos="81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mortgage to allow us or any successor entity to issue substitute bonds (or similar instruments) for any outstanding bonds, provided that such substitute bonds (or similar instruments) carry ratings equal to or better than the then current ratings of the bonds which are being replaced and that certain other conditions are satisfied. The mortgage and deed of trust under which any such substitute bonds (or similar instruments) may be issued may contain terms and conditions different from the mortgage;</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1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as an event of default the failure to discharge or stay within 30 days a final judgment against us for the payment of money in excess of $100,000;</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net earnings test in connection with certain acquisitions of property;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nuclear fuel to the definition of property additions; and</w:t>
      </w:r>
    </w:p>
    <w:p>
      <w:pPr>
        <w:spacing w:after="0" w:line="225" w:lineRule="exact"/>
        <w:rPr>
          <w:rFonts w:ascii="Times New Roman" w:cs="Times New Roman" w:eastAsia="Times New Roman" w:hAnsi="Times New Roman"/>
          <w:sz w:val="18"/>
          <w:szCs w:val="18"/>
          <w:color w:val="auto"/>
        </w:rPr>
      </w:pPr>
    </w:p>
    <w:p>
      <w:pPr>
        <w:ind w:left="120" w:firstLine="436"/>
        <w:spacing w:after="0" w:line="269" w:lineRule="auto"/>
        <w:tabs>
          <w:tab w:leader="none" w:pos="81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amendments to modernize and clarify the terms of the mortgage. These amendments will not adversely affect the rights of holders of bonds and may include the following provisions, among others: (i) simplification of the trustee provisions; (ii) the addition of a governing law clause; (iii) the addition of defeasance provisions for future issuances of bonds; (iv) elimination of maintenance and improvement fund requirements for future issuances of bonds (which requirements will instead be added to specific series of bonds); (v) simplification of the release provisions for obsolete property, de minimis property releases and substitution of property and unfunded property; (vi) the ability to issue global or uncertificated securities;</w:t>
      </w:r>
    </w:p>
    <w:p>
      <w:pPr>
        <w:spacing w:after="0" w:line="2" w:lineRule="exact"/>
        <w:rPr>
          <w:rFonts w:ascii="Times New Roman" w:cs="Times New Roman" w:eastAsia="Times New Roman" w:hAnsi="Times New Roman"/>
          <w:sz w:val="17"/>
          <w:szCs w:val="17"/>
          <w:color w:val="auto"/>
        </w:rPr>
      </w:pPr>
    </w:p>
    <w:p>
      <w:pPr>
        <w:ind w:left="120" w:right="640" w:hanging="4"/>
        <w:spacing w:after="0" w:line="260" w:lineRule="auto"/>
        <w:tabs>
          <w:tab w:leader="none" w:pos="4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of our ability to issue variable rate bonds under the mortgage and (viii) amendment of the definitions of excepted property and permitted liens.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under the mortgage includes: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bond when the same shall become due and payable, whether at maturity or otherwise;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continuing for 30 days in the payment of any installment of interest on any bond or in the payment or satisfaction of any sinking fund obligation;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discharge or stay within 30 days a final judgment against us for the payment of money in excess of $100,000;</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specified in such prior lien bond;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reserved the right to amend the mortgage to eliminate the fourth event of default described above with respect to future series of bonds. 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OOK</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NTRY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YSTEM</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each series of first mortgage bonds and debt securities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w:t>
      </w:r>
    </w:p>
    <w:p>
      <w:pPr>
        <w:spacing w:after="0" w:line="18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any such case, we have agreed to notify the applicable trustee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based solely on information furnished by DTC:</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w:t>
      </w:r>
    </w:p>
    <w:p>
      <w:pPr>
        <w:spacing w:after="0" w:line="19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global securities are redeemable, redemption notices shall be sent to DTC. If less than all of the global securities are being redeemed, DTC’s practice is to determine by lot the amount of the interest of each direct participant in such issue to be redeemed.</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Principal, interest and premium payments, if any, on debt securities or first mortgage bonds, in each case, represented by global securities, will be made to Cede &amp; Co., or such other nominee as may be requested by an authorized 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or first mortgage bonds, in each case, represented by global securities, to Cede &amp; Co. (or such other nominee as may be requested by an authorized representative of DTC) is the responsibility of the appropriate trustee, or other relevant agent of ours and us. Disbursement of such payments to direct participants shall be the responsibility of DTC, and disbursement of such payments to the beneficial owners shall be the responsibility of the participants.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global securities at any time by giving reasonable notice to us or the applicable trustee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including DTC, that we believe to be reliable, but we take no responsibility for the accuracy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dealers or agents of any of the securities may be direct participants of DTC.</w:t>
      </w:r>
    </w:p>
    <w:p>
      <w:pPr>
        <w:spacing w:after="0" w:line="329"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None of the trustees,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ISTRIBUTION</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w:t>
      </w:r>
    </w:p>
    <w:p>
      <w:pPr>
        <w:spacing w:after="0" w:line="18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w:t>
      </w:r>
    </w:p>
    <w:p>
      <w:pPr>
        <w:spacing w:after="0" w:line="176"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EGAL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common stock of Evergy, Inc., including restricted stock, and performance shares which may be paid in shares of common stock at a later date based on Evergy, Inc.’s performance, which represented less than 0.1% of the total outstanding common stock of Evergy, Inc.</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Evergy Kansas Central, Inc. and subsidiaries incorporated by reference in this prospectus, have been audited by Deloitte &amp; Touche LLP, an independent registered public accounting firm, as stated in their report, which is also incorporated by reference herein. Such consolidated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OU</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ORE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through the SEC’s Electronic Data Gathering, Analysis and Retrieval system and these filings are publically available through the SEC’s website (http://www.sec.gov).</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file with them.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w:t>
      </w:r>
    </w:p>
    <w:p>
      <w:pPr>
        <w:spacing w:after="0" w:line="8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as filed with the SEC on February 29, 2024;</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9"/>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Our Quarterly Reports on Form 10-Q for the quarterly periods ended March 31, 2024 and June 30, 2024, as filed with the SEC on </w:t>
        </w:r>
        <w:r>
          <w:rPr>
            <w:rFonts w:ascii="Times New Roman" w:cs="Times New Roman" w:eastAsia="Times New Roman" w:hAnsi="Times New Roman"/>
            <w:sz w:val="18"/>
            <w:szCs w:val="18"/>
            <w:u w:val="single" w:color="auto"/>
            <w:color w:val="0000EE"/>
          </w:rPr>
          <w:t>May 9,</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August 9, 2024</w:t>
        </w:r>
      </w:hyperlink>
      <w:hyperlink r:id="rId68">
        <w:r>
          <w:rPr>
            <w:rFonts w:ascii="Times New Roman" w:cs="Times New Roman" w:eastAsia="Times New Roman" w:hAnsi="Times New Roman"/>
            <w:sz w:val="18"/>
            <w:szCs w:val="18"/>
            <w:color w:val="000000"/>
          </w:rPr>
          <w:t>, respectively;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as filed with the SEC on </w:t>
      </w:r>
      <w:hyperlink r:id="rId90">
        <w:r>
          <w:rPr>
            <w:rFonts w:ascii="Times New Roman" w:cs="Times New Roman" w:eastAsia="Times New Roman" w:hAnsi="Times New Roman"/>
            <w:sz w:val="18"/>
            <w:szCs w:val="18"/>
            <w:u w:val="single" w:color="auto"/>
            <w:color w:val="0000EE"/>
          </w:rPr>
          <w:t>June 10,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000EE"/>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All documents Evergy Kansas Central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w:t>
      </w:r>
    </w:p>
    <w:p>
      <w:pPr>
        <w:spacing w:after="0" w:line="183" w:lineRule="exact"/>
        <w:rPr>
          <w:rFonts w:ascii="Times New Roman" w:cs="Times New Roman" w:eastAsia="Times New Roman" w:hAnsi="Times New Roman"/>
          <w:sz w:val="18"/>
          <w:szCs w:val="18"/>
          <w:color w:val="0000EE"/>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Kansas Central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3" w:lineRule="exact"/>
        <w:rPr>
          <w:rFonts w:ascii="Times New Roman" w:cs="Times New Roman" w:eastAsia="Times New Roman" w:hAnsi="Times New Roman"/>
          <w:sz w:val="18"/>
          <w:szCs w:val="18"/>
          <w:color w:val="0000EE"/>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our parent company, Evergy, and another wholly-owned subsidiary of Evergy, Evergy Metro, separately file combined reports under the Exchange Act. However, the information contained in the combined reports relating solely to our parent and its subsidiaries (other than Evergy Kansas Central and its consolidated subsidiaries), including Evergy Missouri West, Inc., was separately filed by Evergy on its behalf, the information contained in the combined reports relating solely to Evergy Metro and its subsidiaries was separately filed by Evergy Metro on its behalf and the information contained in those combined reports relating solely to Evergy Kansas Central and its consolidated subsidiaries was separately filed by us. We do not intend to incorporate by reference into this prospectus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in the combined report. The only information you should rely upon in determining whether to invest in the securities offered hereby is the information of Evergy Kansas Central and its consolidated subsidiaries contained in this prospectus and any prospectus supplement, the information separately provided by Evergy Kansas Central and its consolidated subsidiaries in the documents incorporated by reference herein and therein and any free writing prospectus used in connection with the offering of securities described in this prospectus.</w:t>
      </w:r>
    </w:p>
    <w:p>
      <w:pPr>
        <w:spacing w:after="0" w:line="12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make available, free of charge, on or through our parent company’s website (www.evergy.com), which website is not incorporated herein,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 company’s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785-575-8227), Attention: Corporate Secretary, or by contacting us on our parent company’s website.</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foregoing, all information appearing in this registration statement is qualified in its entirety by the information appearing in the documents incorporated by reference in this registration statement.</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Evergy Kansas Central,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3985895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4054475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785"/>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0"/>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lvl w:ilvl="1">
      <w:lvlJc w:val="left"/>
      <w:lvlText w:val="(%2)"/>
      <w:numFmt w:val="upperLetter"/>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6"/>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lowerRoman"/>
      <w:start w:val="1"/>
    </w:lvl>
    <w:lvl w:ilvl="1">
      <w:lvlJc w:val="left"/>
      <w:lvlText w:val="(%2)"/>
      <w:numFmt w:val="decimal"/>
      <w:start w:val="1"/>
    </w:lvl>
  </w:abstractNum>
  <w:abstractNum w:abstractNumId="36">
    <w:nsid w:val="5C482A97"/>
    <w:multiLevelType w:val="hybridMultilevel"/>
    <w:lvl w:ilvl="0">
      <w:lvlJc w:val="left"/>
      <w:lvlText w:val="(%1)"/>
      <w:numFmt w:val="lowerRoman"/>
      <w:start w:val="7"/>
    </w:lvl>
    <w:lvl w:ilvl="1">
      <w:lvlJc w:val="left"/>
      <w:lvlText w:val="%2"/>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19" Type="http://schemas.openxmlformats.org/officeDocument/2006/relationships/hyperlink" Target="http://www.sec.gov/ix?doc=/Archives/edgar/data/54476/000171126925000004/evrg-20241231.htm" TargetMode="External"/><Relationship Id="rId20" Type="http://schemas.openxmlformats.org/officeDocument/2006/relationships/hyperlink" Target="http://www.sec.gov/ix?doc=/Archives/edgar/data/54476/000171126925000010/evrg-20250331.htm" TargetMode="External"/><Relationship Id="rId21" Type="http://schemas.openxmlformats.org/officeDocument/2006/relationships/hyperlink" Target="http://www.sec.gov/ix?doc=/Archives/edgar/data/54476/000171126925000022/evrg-20250630.htm" TargetMode="External"/><Relationship Id="rId22" Type="http://schemas.openxmlformats.org/officeDocument/2006/relationships/hyperlink" Target="http://www.sec.gov/ix?doc=/Archives/edgar/data/54476/000171126925000041/evrg-20250930.htm" TargetMode="External"/><Relationship Id="rId23" Type="http://schemas.openxmlformats.org/officeDocument/2006/relationships/hyperlink" Target="http://www.sec.gov/ix?doc=/Archives/edgar/data/54507/000119312525053956/d892895d8k.htm" TargetMode="External"/><Relationship Id="rId24" Type="http://schemas.openxmlformats.org/officeDocument/2006/relationships/hyperlink" Target="http://www.sec.gov/ix?doc=/Archives/edgar/data/54476/000119312525064798/d936056d8k.htm" TargetMode="External"/><Relationship Id="rId25" Type="http://schemas.openxmlformats.org/officeDocument/2006/relationships/hyperlink" Target="http://www.sec.gov/ix?doc=/Archives/edgar/data/54476/000119312525194473/d11088d8k.htm" TargetMode="External"/><Relationship Id="rId26" Type="http://schemas.openxmlformats.org/officeDocument/2006/relationships/hyperlink" Target="http://www.sec.gov/ix?doc=/Archives/edgar/data/54507/000119312525297242/d876740d8k.htm" TargetMode="External"/><Relationship Id="rId67" Type="http://schemas.openxmlformats.org/officeDocument/2006/relationships/hyperlink" Target="http://www.sec.gov/ix?doc=/Archives/edgar/data/54476/000171126924000007/evrg-20231231.htm" TargetMode="External"/><Relationship Id="rId68" Type="http://schemas.openxmlformats.org/officeDocument/2006/relationships/hyperlink" Target="http://www.sec.gov/ix?doc=/Archives/edgar/data/54476/000171126924000013/evrg-20240331.htm" TargetMode="External"/><Relationship Id="rId69" Type="http://schemas.openxmlformats.org/officeDocument/2006/relationships/hyperlink" Target="http://www.sec.gov/ix?doc=/Archives/edgar/data/54476/000171126924000027/evrg-20240630.htm" TargetMode="External"/><Relationship Id="rId90" Type="http://schemas.openxmlformats.org/officeDocument/2006/relationships/hyperlink" Target="http://www.sec.gov/ix?doc=/Archives/edgar/data/54476/000119312524157846/d81922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2025-12-01T07:46:29Z</dcterms:created>
  <dcterms:modified xsi:type="dcterms:W3CDTF">2025-12-01T07:46:29Z</dcterms:modified>
</cp:coreProperties>
</file>