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3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333-281614-01</w:t>
            </w:r>
          </w:p>
        </w:tc>
        <w:tc>
          <w:tcPr>
            <w:tcW w:w="0" w:type="dxa"/>
            <w:vAlign w:val="bottom"/>
          </w:tcPr>
          <w:p>
            <w:pPr>
              <w:spacing w:after="0"/>
              <w:rPr>
                <w:sz w:val="1"/>
                <w:szCs w:val="1"/>
                <w:color w:val="auto"/>
              </w:rPr>
            </w:pPr>
          </w:p>
        </w:tc>
      </w:tr>
      <w:tr>
        <w:trPr>
          <w:trHeight w:val="491"/>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5"/>
              </w:rPr>
              <w:t>complete</w:t>
            </w:r>
          </w:p>
        </w:tc>
        <w:tc>
          <w:tcPr>
            <w:tcW w:w="68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5"/>
              </w:rPr>
              <w:t>not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center"/>
              <w:ind w:left="7"/>
              <w:spacing w:after="0"/>
              <w:rPr>
                <w:sz w:val="20"/>
                <w:szCs w:val="20"/>
                <w:color w:val="auto"/>
              </w:rPr>
            </w:pPr>
            <w:r>
              <w:rPr>
                <w:rFonts w:ascii="Times New Roman" w:cs="Times New Roman" w:eastAsia="Times New Roman" w:hAnsi="Times New Roman"/>
                <w:sz w:val="18"/>
                <w:szCs w:val="18"/>
                <w:b w:val="1"/>
                <w:bCs w:val="1"/>
                <w:color w:val="FF4338"/>
                <w:w w:val="99"/>
              </w:rPr>
              <w:t>Subject to Completion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00" w:type="dxa"/>
            <w:vAlign w:val="bottom"/>
            <w:gridSpan w:val="13"/>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FF4338"/>
                <w:w w:val="99"/>
              </w:rPr>
              <w:t>Preliminary Prospectus Supplement dated August 11, 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700" w:type="dxa"/>
            <w:vAlign w:val="bottom"/>
            <w:gridSpan w:val="1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not</w:t>
            </w:r>
          </w:p>
        </w:tc>
        <w:tc>
          <w:tcPr>
            <w:tcW w:w="68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5"/>
              </w:rPr>
              <w:t>are</w:t>
            </w:r>
          </w:p>
        </w:tc>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(To Prospectus dated August 16, 2024)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rPr>
              <w:t>ThispreliminaryprospectussupplementrelatestoaneffectiveregistrationstatementundertheSecuritiesActof1933,asamended,but is</w:t>
            </w:r>
          </w:p>
        </w:tc>
        <w:tc>
          <w:tcPr>
            <w:tcW w:w="680" w:type="dxa"/>
            <w:vAlign w:val="bottom"/>
            <w:vMerge w:val="restart"/>
            <w:textDirection w:val="btLr"/>
          </w:tcPr>
          <w:p>
            <w:pPr>
              <w:ind w:left="453"/>
              <w:spacing w:after="0"/>
              <w:rPr>
                <w:sz w:val="20"/>
                <w:szCs w:val="20"/>
                <w:color w:val="auto"/>
              </w:rPr>
            </w:pPr>
            <w:r>
              <w:rPr>
                <w:rFonts w:ascii="Times New Roman" w:cs="Times New Roman" w:eastAsia="Times New Roman" w:hAnsi="Times New Roman"/>
                <w:sz w:val="1"/>
                <w:szCs w:val="1"/>
                <w:b w:val="1"/>
                <w:bCs w:val="1"/>
                <w:color w:val="FF4338"/>
              </w:rPr>
              <w:t>andmaybechanged.Thispreliminaryprospectussupplementandtheaccompanyingprospectusarenotofferstosellthesesecuritiesandsolicitinganoffertobuythesesecuritiesinanyjurisdictionwheretheofferorsaleisnotpermitted.</w:t>
            </w:r>
          </w:p>
        </w:tc>
        <w:tc>
          <w:tcPr>
            <w:tcW w:w="2980" w:type="dxa"/>
            <w:vAlign w:val="bottom"/>
            <w:gridSpan w:val="8"/>
            <w:vMerge w:val="continue"/>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7"/>
        </w:trPr>
        <w:tc>
          <w:tcPr>
            <w:tcW w:w="3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11"/>
          </w:tcPr>
          <w:p>
            <w:pPr>
              <w:jc w:val="center"/>
              <w:ind w:right="670"/>
              <w:spacing w:after="0"/>
              <w:rPr>
                <w:sz w:val="20"/>
                <w:szCs w:val="20"/>
                <w:color w:val="auto"/>
              </w:rPr>
            </w:pPr>
            <w:r>
              <w:rPr>
                <w:rFonts w:ascii="Times New Roman" w:cs="Times New Roman" w:eastAsia="Times New Roman" w:hAnsi="Times New Roman"/>
                <w:sz w:val="40"/>
                <w:szCs w:val="40"/>
                <w:b w:val="1"/>
                <w:bCs w:val="1"/>
                <w:color w:val="auto"/>
                <w:w w:val="98"/>
              </w:rPr>
              <w:t>Evergy Metro, Inc.</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4280" w:type="dxa"/>
            <w:vAlign w:val="bottom"/>
            <w:gridSpan w:val="12"/>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 Mortgage Bonds, Series 2025 due 20       </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280" w:type="dxa"/>
            <w:vAlign w:val="bottom"/>
            <w:gridSpan w:val="12"/>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xml:space="preserve">Evergy Metro, Inc. is offering $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3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4"/>
              </w:rPr>
              <w:t>aggregate principal amount of  </w:t>
            </w:r>
          </w:p>
        </w:tc>
        <w:tc>
          <w:tcPr>
            <w:tcW w:w="4460" w:type="dxa"/>
            <w:vAlign w:val="bottom"/>
            <w:gridSpan w:val="9"/>
          </w:tcPr>
          <w:p>
            <w:pPr>
              <w:jc w:val="right"/>
              <w:ind w:right="1180"/>
              <w:spacing w:after="0"/>
              <w:rPr>
                <w:sz w:val="20"/>
                <w:szCs w:val="20"/>
                <w:color w:val="auto"/>
              </w:rPr>
            </w:pPr>
            <w:r>
              <w:rPr>
                <w:rFonts w:ascii="Times New Roman" w:cs="Times New Roman" w:eastAsia="Times New Roman" w:hAnsi="Times New Roman"/>
                <w:sz w:val="18"/>
                <w:szCs w:val="18"/>
                <w:color w:val="auto"/>
              </w:rPr>
              <w:t>         % Mortgage Bonds, Series 2025 due</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77"/>
              </w:rPr>
              <w:t>20 </w:t>
            </w:r>
          </w:p>
        </w:tc>
        <w:tc>
          <w:tcPr>
            <w:tcW w:w="80" w:type="dxa"/>
            <w:vAlign w:val="bottom"/>
          </w:tcPr>
          <w:p>
            <w:pPr>
              <w:spacing w:after="0"/>
              <w:rPr>
                <w:sz w:val="18"/>
                <w:szCs w:val="18"/>
                <w:color w:val="auto"/>
              </w:rPr>
            </w:pPr>
          </w:p>
        </w:tc>
        <w:tc>
          <w:tcPr>
            <w:tcW w:w="514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 xml:space="preserve">(the “Bonds”). The per annum interest rate on the Bonds will be        </w:t>
            </w:r>
          </w:p>
        </w:tc>
        <w:tc>
          <w:tcPr>
            <w:tcW w:w="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4"/>
              </w:rPr>
              <w:t> </w:t>
            </w:r>
          </w:p>
        </w:tc>
        <w:tc>
          <w:tcPr>
            <w:tcW w:w="4460" w:type="dxa"/>
            <w:vAlign w:val="bottom"/>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 Interest on the Bonds will be payable semi-</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annually in arrears on </w:t>
            </w:r>
            <w:r>
              <w:rPr>
                <w:rFonts w:ascii="Times New Roman" w:cs="Times New Roman" w:eastAsia="Times New Roman" w:hAnsi="Times New Roman"/>
                <w:sz w:val="18"/>
                <w:szCs w:val="18"/>
                <w:b w:val="1"/>
                <w:bCs w:val="1"/>
                <w:color w:val="auto"/>
              </w:rPr>
              <w:t xml:space="preserve">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 xml:space="preserve">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of each year, beginning on </w:t>
            </w:r>
            <w:r>
              <w:rPr>
                <w:rFonts w:ascii="Times New Roman" w:cs="Times New Roman" w:eastAsia="Times New Roman" w:hAnsi="Times New Roman"/>
                <w:sz w:val="18"/>
                <w:szCs w:val="18"/>
                <w:b w:val="1"/>
                <w:bCs w:val="1"/>
                <w:color w:val="auto"/>
              </w:rPr>
              <w:t xml:space="preserve"> </w:t>
            </w:r>
          </w:p>
        </w:tc>
        <w:tc>
          <w:tcPr>
            <w:tcW w:w="40" w:type="dxa"/>
            <w:vAlign w:val="bottom"/>
          </w:tcPr>
          <w:p>
            <w:pPr>
              <w:spacing w:after="0"/>
              <w:rPr>
                <w:sz w:val="18"/>
                <w:szCs w:val="18"/>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460" w:type="dxa"/>
            <w:vAlign w:val="bottom"/>
            <w:gridSpan w:val="9"/>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 2026. The Bonds will mature on</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860" w:type="dxa"/>
            <w:vAlign w:val="bottom"/>
            <w:gridSpan w:val="25"/>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20   . The Bonds may be redeemed at any time in whole, or from time to time in part, at our option, at the applicable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redemption price specified in this prospectus supplement.</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25"/>
          </w:tcPr>
          <w:p>
            <w:pPr>
              <w:ind w:left="80"/>
              <w:spacing w:after="0"/>
              <w:rPr>
                <w:sz w:val="20"/>
                <w:szCs w:val="20"/>
                <w:color w:val="auto"/>
              </w:rPr>
            </w:pPr>
            <w:r>
              <w:rPr>
                <w:rFonts w:ascii="Times New Roman" w:cs="Times New Roman" w:eastAsia="Times New Roman" w:hAnsi="Times New Roman"/>
                <w:sz w:val="18"/>
                <w:szCs w:val="18"/>
                <w:color w:val="auto"/>
              </w:rPr>
              <w:t>The Bonds will be issued in minimum denominations of $2,000 and integral multiples of $1,000 in excess thereof.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Bonds will be secured by the lien of the Mortgage Indenture (as defined herein) and will rank equally and ratably (except as to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sinking funds and other analogous funds established for the exclusive benefit of a particular series) with all general mortgage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bonds, regardless of series, from time to time issued and outstanding under the Mortgage Indenture. The lien of the Mortgage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Indenture is discussed under “Description of General Mortgage Bonds — Security and Priority” in the accompanying</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prospectus. The Bonds will not be listed on any securities exchange or included in any automated dealer quotation system.</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Currently, there is no public market for the Bonds.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25"/>
          </w:tcPr>
          <w:p>
            <w:pPr>
              <w:ind w:left="80"/>
              <w:spacing w:after="0"/>
              <w:rPr>
                <w:sz w:val="20"/>
                <w:szCs w:val="20"/>
                <w:color w:val="auto"/>
              </w:rPr>
            </w:pPr>
            <w:r>
              <w:rPr>
                <w:rFonts w:ascii="Times New Roman" w:cs="Times New Roman" w:eastAsia="Times New Roman" w:hAnsi="Times New Roman"/>
                <w:sz w:val="22"/>
                <w:szCs w:val="22"/>
                <w:b w:val="1"/>
                <w:bCs w:val="1"/>
                <w:color w:val="auto"/>
              </w:rPr>
              <w:t>Investing in the Bonds involves risks that are described in the sections entitled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8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auto"/>
                <w:w w:val="94"/>
              </w:rPr>
              <w:t>beginning on page S-11 of this prospectus supplement and page 5 of the accompanying</w:t>
            </w:r>
          </w:p>
        </w:tc>
        <w:tc>
          <w:tcPr>
            <w:tcW w:w="1180" w:type="dxa"/>
            <w:vAlign w:val="bottom"/>
            <w:tcBorders>
              <w:top w:val="single" w:sz="8" w:color="0000EE"/>
            </w:tcBorders>
            <w:gridSpan w:val="4"/>
          </w:tcPr>
          <w:p>
            <w:pPr>
              <w:ind w:left="280"/>
              <w:spacing w:after="0"/>
              <w:rPr>
                <w:sz w:val="20"/>
                <w:szCs w:val="20"/>
                <w:color w:val="auto"/>
              </w:rPr>
            </w:pPr>
            <w:r>
              <w:rPr>
                <w:rFonts w:ascii="Times New Roman" w:cs="Times New Roman" w:eastAsia="Times New Roman" w:hAnsi="Times New Roman"/>
                <w:sz w:val="22"/>
                <w:szCs w:val="22"/>
                <w:b w:val="1"/>
                <w:bCs w:val="1"/>
                <w:color w:val="auto"/>
                <w:w w:val="82"/>
              </w:rPr>
              <w:t>prospectus.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gridSpan w:val="5"/>
            <w:vMerge w:val="restart"/>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00" w:type="dxa"/>
            <w:vAlign w:val="bottom"/>
          </w:tcPr>
          <w:p>
            <w:pPr>
              <w:spacing w:after="0"/>
              <w:rPr>
                <w:sz w:val="24"/>
                <w:szCs w:val="24"/>
                <w:color w:val="auto"/>
              </w:rPr>
            </w:pPr>
          </w:p>
        </w:tc>
        <w:tc>
          <w:tcPr>
            <w:tcW w:w="3000" w:type="dxa"/>
            <w:vAlign w:val="bottom"/>
            <w:gridSpan w:val="6"/>
          </w:tcPr>
          <w:p>
            <w:pPr>
              <w:jc w:val="right"/>
              <w:ind w:right="206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Price to the Public</w:t>
            </w:r>
            <w:r>
              <w:rPr>
                <w:rFonts w:ascii="Times New Roman" w:cs="Times New Roman" w:eastAsia="Times New Roman" w:hAnsi="Times New Roman"/>
                <w:sz w:val="10"/>
                <w:szCs w:val="10"/>
                <w:b w:val="1"/>
                <w:bCs w:val="1"/>
                <w:color w:val="auto"/>
              </w:rPr>
              <w:t>(1)</w:t>
            </w:r>
          </w:p>
        </w:tc>
        <w:tc>
          <w:tcPr>
            <w:tcW w:w="1540" w:type="dxa"/>
            <w:vAlign w:val="bottom"/>
            <w:gridSpan w:val="5"/>
            <w:vMerge w:val="continue"/>
          </w:tcPr>
          <w:p>
            <w:pPr>
              <w:spacing w:after="0"/>
              <w:rPr>
                <w:sz w:val="12"/>
                <w:szCs w:val="12"/>
                <w:color w:val="auto"/>
              </w:rPr>
            </w:pPr>
          </w:p>
        </w:tc>
        <w:tc>
          <w:tcPr>
            <w:tcW w:w="3100" w:type="dxa"/>
            <w:vAlign w:val="bottom"/>
            <w:gridSpan w:val="7"/>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Evergy Metro, Inc.</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tcPr>
          <w:p>
            <w:pPr>
              <w:spacing w:after="0"/>
              <w:rPr>
                <w:sz w:val="15"/>
                <w:szCs w:val="15"/>
                <w:color w:val="auto"/>
              </w:rPr>
            </w:pPr>
          </w:p>
        </w:tc>
        <w:tc>
          <w:tcPr>
            <w:tcW w:w="3000" w:type="dxa"/>
            <w:vAlign w:val="bottom"/>
            <w:gridSpan w:val="6"/>
          </w:tcPr>
          <w:p>
            <w:pPr>
              <w:jc w:val="right"/>
              <w:ind w:right="1900"/>
              <w:spacing w:after="0"/>
              <w:rPr>
                <w:sz w:val="20"/>
                <w:szCs w:val="20"/>
                <w:color w:val="auto"/>
              </w:rPr>
            </w:pPr>
            <w:r>
              <w:rPr>
                <w:rFonts w:ascii="Times New Roman" w:cs="Times New Roman" w:eastAsia="Times New Roman" w:hAnsi="Times New Roman"/>
                <w:sz w:val="14"/>
                <w:szCs w:val="14"/>
                <w:b w:val="1"/>
                <w:bCs w:val="1"/>
                <w:color w:val="auto"/>
              </w:rPr>
              <w:t>Before Expenses</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Borders>
              <w:top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Borders>
              <w:top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Borders>
              <w:bottom w:val="single" w:sz="8" w:color="auto"/>
            </w:tcBorders>
            <w:gridSpan w:val="4"/>
          </w:tcPr>
          <w:p>
            <w:pPr>
              <w:spacing w:after="0"/>
              <w:rPr>
                <w:sz w:val="10"/>
                <w:szCs w:val="10"/>
                <w:color w:val="auto"/>
              </w:rPr>
            </w:pPr>
          </w:p>
        </w:tc>
        <w:tc>
          <w:tcPr>
            <w:tcW w:w="1960" w:type="dxa"/>
            <w:vAlign w:val="bottom"/>
            <w:gridSpan w:val="4"/>
          </w:tcPr>
          <w:p>
            <w:pPr>
              <w:spacing w:after="0"/>
              <w:rPr>
                <w:sz w:val="10"/>
                <w:szCs w:val="10"/>
                <w:color w:val="auto"/>
              </w:rPr>
            </w:pPr>
          </w:p>
        </w:tc>
        <w:tc>
          <w:tcPr>
            <w:tcW w:w="4080" w:type="dxa"/>
            <w:vAlign w:val="bottom"/>
            <w:gridSpan w:val="11"/>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(1)  Plus accrued interest from August </w:t>
            </w:r>
            <w:r>
              <w:rPr>
                <w:rFonts w:ascii="Times New Roman" w:cs="Times New Roman" w:eastAsia="Times New Roman" w:hAnsi="Times New Roman"/>
                <w:sz w:val="18"/>
                <w:szCs w:val="18"/>
                <w:b w:val="1"/>
                <w:bCs w:val="1"/>
                <w:color w:val="auto"/>
              </w:rPr>
              <w:t xml:space="preserve"> </w:t>
            </w:r>
          </w:p>
        </w:tc>
        <w:tc>
          <w:tcPr>
            <w:tcW w:w="40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 2025, if settlement occurs after that date.</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25"/>
          </w:tcPr>
          <w:p>
            <w:pPr>
              <w:ind w:left="8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of these securities or determined if this prospectus supplement or the accompanying prospectus is truthful or complete.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Any representation to the contrary is a criminal offense.</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25"/>
          </w:tcPr>
          <w:p>
            <w:pPr>
              <w:ind w:left="80"/>
              <w:spacing w:after="0"/>
              <w:rPr>
                <w:sz w:val="20"/>
                <w:szCs w:val="20"/>
                <w:color w:val="auto"/>
              </w:rPr>
            </w:pPr>
            <w:r>
              <w:rPr>
                <w:rFonts w:ascii="Times New Roman" w:cs="Times New Roman" w:eastAsia="Times New Roman" w:hAnsi="Times New Roman"/>
                <w:sz w:val="18"/>
                <w:szCs w:val="18"/>
                <w:color w:val="auto"/>
              </w:rPr>
              <w:t>The Bonds will be ready for delivery in book-entry form only through the facilities of The Depository Trust Company 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accounts of its participants, including Clearstream Banking S.A. and Euroclear Bank SA/NV, as operator of the Euroclear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6"/>
              </w:rPr>
              <w:t>System, on or about August 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2025.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940" w:type="dxa"/>
            <w:vAlign w:val="bottom"/>
            <w:tcBorders>
              <w:bottom w:val="single" w:sz="8" w:color="auto"/>
            </w:tcBorders>
            <w:gridSpan w:val="5"/>
          </w:tcPr>
          <w:p>
            <w:pPr>
              <w:spacing w:after="0"/>
              <w:rPr>
                <w:sz w:val="24"/>
                <w:szCs w:val="24"/>
                <w:color w:val="auto"/>
              </w:rPr>
            </w:pPr>
          </w:p>
        </w:tc>
        <w:tc>
          <w:tcPr>
            <w:tcW w:w="1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gridSpan w:val="10"/>
          </w:tcPr>
          <w:p>
            <w:pPr>
              <w:jc w:val="center"/>
              <w:ind w:right="1010"/>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25"/>
                <w:szCs w:val="25"/>
                <w:b w:val="1"/>
                <w:bCs w:val="1"/>
                <w:color w:val="auto"/>
                <w:w w:val="99"/>
              </w:rPr>
              <w:t>BNY Capital Markets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3480" w:type="dxa"/>
            <w:vAlign w:val="bottom"/>
            <w:gridSpan w:val="10"/>
          </w:tcPr>
          <w:p>
            <w:pPr>
              <w:ind w:left="140"/>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2300" w:type="dxa"/>
            <w:vAlign w:val="bottom"/>
            <w:gridSpan w:val="4"/>
          </w:tcPr>
          <w:p>
            <w:pPr>
              <w:jc w:val="right"/>
              <w:ind w:right="960"/>
              <w:spacing w:after="0"/>
              <w:rPr>
                <w:sz w:val="20"/>
                <w:szCs w:val="20"/>
                <w:color w:val="auto"/>
              </w:rPr>
            </w:pPr>
            <w:r>
              <w:rPr>
                <w:rFonts w:ascii="Times New Roman" w:cs="Times New Roman" w:eastAsia="Times New Roman" w:hAnsi="Times New Roman"/>
                <w:sz w:val="25"/>
                <w:szCs w:val="25"/>
                <w:b w:val="1"/>
                <w:bCs w:val="1"/>
                <w:color w:val="auto"/>
                <w:w w:val="99"/>
              </w:rPr>
              <w:t>J.P. Morgan</w:t>
            </w:r>
          </w:p>
        </w:tc>
        <w:tc>
          <w:tcPr>
            <w:tcW w:w="0" w:type="dxa"/>
            <w:vAlign w:val="bottom"/>
          </w:tcPr>
          <w:p>
            <w:pPr>
              <w:spacing w:after="0"/>
              <w:rPr>
                <w:sz w:val="1"/>
                <w:szCs w:val="1"/>
                <w:color w:val="auto"/>
              </w:rPr>
            </w:pPr>
          </w:p>
        </w:tc>
      </w:tr>
      <w:tr>
        <w:trPr>
          <w:trHeight w:val="423"/>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gridSpan w:val="1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Prospectus Supplement dated August    , 2025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16"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2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2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34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3440" w:type="dxa"/>
            <w:vAlign w:val="bottom"/>
            <w:tcBorders>
              <w:bottom w:val="single" w:sz="8" w:color="0000EE"/>
            </w:tcBorders>
            <w:gridSpan w:val="11"/>
            <w:vMerge w:val="continue"/>
          </w:tcPr>
          <w:p>
            <w:pPr>
              <w:spacing w:after="0"/>
              <w:rPr>
                <w:sz w:val="13"/>
                <w:szCs w:val="13"/>
                <w:color w:val="auto"/>
              </w:rPr>
            </w:pPr>
          </w:p>
        </w:tc>
        <w:tc>
          <w:tcPr>
            <w:tcW w:w="7120" w:type="dxa"/>
            <w:vAlign w:val="bottom"/>
            <w:gridSpan w:val="6"/>
            <w:vMerge w:val="continue"/>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7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DESCRIPTION OF THE BONDS</w:t>
            </w: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560" w:type="dxa"/>
            <w:vAlign w:val="bottom"/>
            <w:gridSpan w:val="17"/>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EVERGY METRO, INC.</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72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GENERAL MORTGAGE BONDS</w:t>
            </w:r>
          </w:p>
        </w:tc>
        <w:tc>
          <w:tcPr>
            <w:tcW w:w="652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BOOK-ENTRY SYSTEM</w:t>
            </w:r>
          </w:p>
        </w:tc>
        <w:tc>
          <w:tcPr>
            <w:tcW w:w="864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4"/>
          </w:tcPr>
          <w:p>
            <w:pPr>
              <w:spacing w:after="0"/>
              <w:rPr>
                <w:sz w:val="17"/>
                <w:szCs w:val="17"/>
                <w:color w:val="auto"/>
              </w:rPr>
            </w:pPr>
          </w:p>
        </w:tc>
        <w:tc>
          <w:tcPr>
            <w:tcW w:w="85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w:t>
      </w:r>
    </w:p>
    <w:p>
      <w:pPr>
        <w:spacing w:after="0" w:line="7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spacing w:after="0" w:line="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to deliver the Bonds against payment for the Bonds on or about the date specified in the last paragraph of the cover page of this prospectus supplement, which will be the     business day following the date of this prospectus supplement (“T+  ”).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w:t>
      </w:r>
    </w:p>
    <w:p>
      <w:pPr>
        <w:spacing w:after="0" w:line="7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Indenture (as defined herein) or the Bonds, preventing or curing an event of default under the terms of the Mortgage Indenture, complying with any other obligation under the Mortgage Indenture or the Bonds or otherwise.</w:t>
      </w:r>
    </w:p>
    <w:p>
      <w:pPr>
        <w:spacing w:after="0" w:line="7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Metro, Inc.,” “Evergy Metro,” the “Company,” “we,” “us” or “our” in this prospectus supplement or the accompanying prospectus or when we otherwise refer to ourselves herein or therein, we mean Evergy Metro, Inc. and not any of its subsidiaries or other affiliates, unless the context clearly indicates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STATEMENTS REGARDING CERTAIN FORWARD-LOOKING INFORMATION</w:t>
      </w:r>
    </w:p>
    <w:p>
      <w:pPr>
        <w:spacing w:after="0" w:line="12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Statements made in this prospectus supplement, the accompanying prospectus and the documents incorporated by reference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7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w:t>
      </w:r>
    </w:p>
    <w:p>
      <w:pPr>
        <w:spacing w:after="0" w:line="81" w:lineRule="exact"/>
        <w:rPr>
          <w:sz w:val="20"/>
          <w:szCs w:val="20"/>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weather conditions and any impact on sales, prices and costs;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demand for electricity;</w:t>
      </w:r>
    </w:p>
    <w:p>
      <w:pPr>
        <w:spacing w:after="0" w:line="130" w:lineRule="exact"/>
        <w:rPr>
          <w:rFonts w:ascii="Times New Roman" w:cs="Times New Roman" w:eastAsia="Times New Roman" w:hAnsi="Times New Roman"/>
          <w:sz w:val="18"/>
          <w:szCs w:val="18"/>
          <w:color w:val="auto"/>
        </w:rPr>
      </w:pPr>
    </w:p>
    <w:p>
      <w:pPr>
        <w:ind w:left="880" w:right="26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strategy or operations, including with respect to Evergy Metro’s strategy to meet demand requirements of existing and future customers;</w:t>
      </w:r>
    </w:p>
    <w:p>
      <w:pPr>
        <w:spacing w:after="0" w:line="67" w:lineRule="exact"/>
        <w:rPr>
          <w:rFonts w:ascii="Times New Roman" w:cs="Times New Roman" w:eastAsia="Times New Roman" w:hAnsi="Times New Roman"/>
          <w:sz w:val="18"/>
          <w:szCs w:val="18"/>
          <w:color w:val="auto"/>
        </w:rPr>
      </w:pPr>
    </w:p>
    <w:p>
      <w:pPr>
        <w:ind w:left="880" w:right="88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and local political, legislative, judicial and regulatory actions or developments, including deregulation, re-regulation, securitization and restructuring of the electric utility industry;</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(including tariffs and other trade measures) and responses from other countries;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or acquire generation and transmission facilities to meet the future demand for electricity from customers;</w:t>
      </w:r>
    </w:p>
    <w:p>
      <w:pPr>
        <w:spacing w:after="0" w:line="130" w:lineRule="exact"/>
        <w:rPr>
          <w:rFonts w:ascii="Times New Roman" w:cs="Times New Roman" w:eastAsia="Times New Roman" w:hAnsi="Times New Roman"/>
          <w:sz w:val="18"/>
          <w:szCs w:val="18"/>
          <w:color w:val="auto"/>
        </w:rPr>
      </w:pPr>
    </w:p>
    <w:p>
      <w:pPr>
        <w:ind w:left="880" w:hanging="224"/>
        <w:spacing w:after="0" w:line="281" w:lineRule="auto"/>
        <w:tabs>
          <w:tab w:leader="none" w:pos="8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control costs, avoid costs and schedule overruns during the development, construction and operation of generation,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spacing w:after="0" w:line="69" w:lineRule="exact"/>
        <w:rPr>
          <w:rFonts w:ascii="Times New Roman" w:cs="Times New Roman" w:eastAsia="Times New Roman" w:hAnsi="Times New Roman"/>
          <w:sz w:val="17"/>
          <w:szCs w:val="17"/>
          <w:color w:val="auto"/>
        </w:rPr>
      </w:pPr>
    </w:p>
    <w:p>
      <w:pPr>
        <w:ind w:left="880" w:right="14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regulators regarding, among other things, customer rates and the prudency of operational decisions such as capital expenditures and asset retirements;</w:t>
      </w:r>
    </w:p>
    <w:p>
      <w:pPr>
        <w:spacing w:after="0" w:line="67" w:lineRule="exact"/>
        <w:rPr>
          <w:rFonts w:ascii="Times New Roman" w:cs="Times New Roman" w:eastAsia="Times New Roman" w:hAnsi="Times New Roman"/>
          <w:sz w:val="18"/>
          <w:szCs w:val="18"/>
          <w:color w:val="auto"/>
        </w:rPr>
      </w:pPr>
    </w:p>
    <w:p>
      <w:pPr>
        <w:ind w:left="880" w:right="88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regulations, rules, principles or practices, or the interpretations thereof, governing tax, accounting and environmental matters, including air and water quality and waste management and disposal;</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adoption and use of artificial intelligence by Evergy Metro and its third-party vendors;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including increased frequency and severity of significant weather events;</w:t>
      </w:r>
    </w:p>
    <w:p>
      <w:pPr>
        <w:spacing w:after="0" w:line="130" w:lineRule="exact"/>
        <w:rPr>
          <w:rFonts w:ascii="Times New Roman" w:cs="Times New Roman" w:eastAsia="Times New Roman" w:hAnsi="Times New Roman"/>
          <w:sz w:val="18"/>
          <w:szCs w:val="18"/>
          <w:color w:val="auto"/>
        </w:rPr>
      </w:pPr>
    </w:p>
    <w:p>
      <w:pPr>
        <w:ind w:left="880" w:right="28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wildfires, including costs of litigation, potential regulatory penalties and damages in excess of insurance liability coverage;</w:t>
      </w:r>
    </w:p>
    <w:p>
      <w:pPr>
        <w:spacing w:after="0" w:line="67" w:lineRule="exact"/>
        <w:rPr>
          <w:rFonts w:ascii="Times New Roman" w:cs="Times New Roman" w:eastAsia="Times New Roman" w:hAnsi="Times New Roman"/>
          <w:sz w:val="18"/>
          <w:szCs w:val="18"/>
          <w:color w:val="auto"/>
        </w:rPr>
      </w:pPr>
    </w:p>
    <w:p>
      <w:pPr>
        <w:ind w:left="880" w:right="60" w:hanging="224"/>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counterparties are willing to do business with, finance the operations of or purchase energy from Evergy Metro due to the fact that Evergy Metro operates coal-fired generation;</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and natural gas in wholesale markets;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energy industry and Evergy Metro;</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200" w:hanging="224"/>
        <w:spacing w:after="0" w:line="266"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pandemic health events on, among other things, sales, results of operations, financial position, liquidity and cash flows, and also on operational issues, such as supply chain issues and the availability and ability of Evergy Metro’s employees and suppliers to perform the functions that are necessary to operate Evergy Metro;</w:t>
      </w:r>
    </w:p>
    <w:p>
      <w:pPr>
        <w:spacing w:after="0" w:line="81" w:lineRule="exact"/>
        <w:rPr>
          <w:rFonts w:ascii="Times New Roman" w:cs="Times New Roman" w:eastAsia="Times New Roman" w:hAnsi="Times New Roman"/>
          <w:sz w:val="18"/>
          <w:szCs w:val="18"/>
          <w:color w:val="auto"/>
        </w:rPr>
      </w:pPr>
    </w:p>
    <w:p>
      <w:pPr>
        <w:ind w:left="880" w:right="70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energy trading markets in which Evergy Metro participates, including retroactive repricing of transactions by regional transmission organizations and independent system operators;</w:t>
      </w:r>
    </w:p>
    <w:p>
      <w:pPr>
        <w:spacing w:after="0" w:line="67" w:lineRule="exact"/>
        <w:rPr>
          <w:rFonts w:ascii="Times New Roman" w:cs="Times New Roman" w:eastAsia="Times New Roman" w:hAnsi="Times New Roman"/>
          <w:sz w:val="18"/>
          <w:szCs w:val="18"/>
          <w:color w:val="auto"/>
        </w:rPr>
      </w:pPr>
    </w:p>
    <w:p>
      <w:pPr>
        <w:ind w:left="88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long-lived assets or goodwill;</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risk management policies and procedures and the ability of counterparties to satisfy their contractual commitments;</w:t>
      </w:r>
    </w:p>
    <w:p>
      <w:pPr>
        <w:spacing w:after="0" w:line="130" w:lineRule="exact"/>
        <w:rPr>
          <w:rFonts w:ascii="Times New Roman" w:cs="Times New Roman" w:eastAsia="Times New Roman" w:hAnsi="Times New Roman"/>
          <w:sz w:val="18"/>
          <w:szCs w:val="18"/>
          <w:color w:val="auto"/>
        </w:rPr>
      </w:pPr>
    </w:p>
    <w:p>
      <w:pPr>
        <w:ind w:left="880" w:hanging="224"/>
        <w:spacing w:after="0" w:line="312" w:lineRule="auto"/>
        <w:tabs>
          <w:tab w:leader="none" w:pos="8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physical and cybersecurity breaches, criminal activity, terrorist attacks, acts of war and other disruptions to Evergy Metro’s facilities or information technology infrastructure or the facilities and infrastructure of third-party service providers on which Evergy Metro relies;</w:t>
      </w:r>
    </w:p>
    <w:p>
      <w:pPr>
        <w:spacing w:after="0" w:line="45" w:lineRule="exact"/>
        <w:rPr>
          <w:rFonts w:ascii="Times New Roman" w:cs="Times New Roman" w:eastAsia="Times New Roman" w:hAnsi="Times New Roman"/>
          <w:sz w:val="17"/>
          <w:szCs w:val="17"/>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geopolitical conflicts on the global energy market, including the ability to contract for non-Russian sourced uranium;</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carry out marketing and sales plans;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availability, quality and timely provision of equipment, supplies, labor and fuel;</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generation goals and the occurrence and duration of planned and unplanned generation outages;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Metro’s ability to manage its generation, transmission and distribution development plans and transmission joint ventures;</w:t>
      </w:r>
    </w:p>
    <w:p>
      <w:pPr>
        <w:spacing w:after="0" w:line="130" w:lineRule="exact"/>
        <w:rPr>
          <w:rFonts w:ascii="Times New Roman" w:cs="Times New Roman" w:eastAsia="Times New Roman" w:hAnsi="Times New Roman"/>
          <w:sz w:val="18"/>
          <w:szCs w:val="18"/>
          <w:color w:val="auto"/>
        </w:rPr>
      </w:pPr>
    </w:p>
    <w:p>
      <w:pPr>
        <w:ind w:left="880" w:right="30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associated with the ownership and operation of a nuclear facility, including environmental, health, safety, regulatory and financial risks;</w:t>
      </w:r>
    </w:p>
    <w:p>
      <w:pPr>
        <w:spacing w:after="0" w:line="67" w:lineRule="exact"/>
        <w:rPr>
          <w:rFonts w:ascii="Times New Roman" w:cs="Times New Roman" w:eastAsia="Times New Roman" w:hAnsi="Times New Roman"/>
          <w:sz w:val="18"/>
          <w:szCs w:val="18"/>
          <w:color w:val="auto"/>
        </w:rPr>
      </w:pPr>
    </w:p>
    <w:p>
      <w:pPr>
        <w:ind w:left="880" w:right="12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risks, including those related to Evergy Metro’s ability to attract and retain qualified personnel, maintain satisfactory relationships with their labor unions and manage costs of, or changes in, wages, retirement, health care and other benefits;</w:t>
      </w:r>
    </w:p>
    <w:p>
      <w:pPr>
        <w:spacing w:after="0" w:line="67" w:lineRule="exact"/>
        <w:rPr>
          <w:rFonts w:ascii="Times New Roman" w:cs="Times New Roman" w:eastAsia="Times New Roman" w:hAnsi="Times New Roman"/>
          <w:sz w:val="18"/>
          <w:szCs w:val="18"/>
          <w:color w:val="auto"/>
        </w:rPr>
      </w:pPr>
    </w:p>
    <w:p>
      <w:pPr>
        <w:ind w:left="880" w:right="40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costs and uncertainties caused by or related to the actions of individuals or entities, such as activist shareholders of our parent company or special interest groups, that seek to influence our strategic plan, financial results or operations;</w:t>
      </w:r>
    </w:p>
    <w:p>
      <w:pPr>
        <w:spacing w:after="0" w:line="67" w:lineRule="exact"/>
        <w:rPr>
          <w:rFonts w:ascii="Times New Roman" w:cs="Times New Roman" w:eastAsia="Times New Roman" w:hAnsi="Times New Roman"/>
          <w:sz w:val="18"/>
          <w:szCs w:val="18"/>
          <w:color w:val="auto"/>
        </w:rPr>
      </w:pPr>
    </w:p>
    <w:p>
      <w:pPr>
        <w:ind w:left="880" w:right="28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expectations and demands of Evergy Metro’s customers, regulators, investors and stakeholders, including differing views on environmental, social and governance concerns;</w:t>
      </w:r>
    </w:p>
    <w:p>
      <w:pPr>
        <w:spacing w:after="0" w:line="67" w:lineRule="exact"/>
        <w:rPr>
          <w:rFonts w:ascii="Times New Roman" w:cs="Times New Roman" w:eastAsia="Times New Roman" w:hAnsi="Times New Roman"/>
          <w:sz w:val="18"/>
          <w:szCs w:val="18"/>
          <w:color w:val="auto"/>
        </w:rPr>
      </w:pPr>
    </w:p>
    <w:p>
      <w:pPr>
        <w:ind w:left="880" w:right="40" w:hanging="224"/>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strategic initiatives, including mergers, acquisitions, joint ventures and divestitures, and long-term financial plans, may not create the value that they are expected to achieve in a timely manner or at all;</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relationships with customers, employees, contractors, regulators or suppliers;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Evergy Metro; and</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Risk factors discussed under Item 1A of Part I of our Annual Report on Form 10-K for the year ended December 31, 2024, which is incorporated herein by reference, should be carefully read for further understanding of potential risks for Evergy Metro. Other sections of our Annual Report on Form 10-K for the year ended December 31, 2024 and other reports filed by Evergy Metro with the SEC should also be read for more information regarding risk factors. Each forward-looking statement speaks only as of the date of the particular statement. Evergy Metro undertakes no obligation to publicly update or revise any forward-looking statement, whether as a result of new information, future events or otherwise, except as required by law.</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through the SEC’s Electronic Data Gathering, Analysis and Retrieval system and these filings are publicly available through the SEC’s website (http://www.sec.gov).</w:t>
      </w:r>
    </w:p>
    <w:p>
      <w:pPr>
        <w:spacing w:after="0" w:line="5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w:t>
      </w:r>
    </w:p>
    <w:p>
      <w:pPr>
        <w:spacing w:after="0" w:line="97"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880" w:right="440" w:hanging="224"/>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5">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8, 2025 and August 7, 2025, respectively; and</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17">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our parent company, Evergy, and another wholly owned subsidiary of Evergy, Evergy Kansas Central, Inc. (“Evergy Kansas Central”), separately filed the combined Annual Report on Form 10-K listed above. However, the information therein relating solely to our parent and its consolidated subsidiaries (other than Evergy Metro and its consolidated subsidiaries), including Evergy Missouri West, Inc., was separately filed by Evergy on its behalf, the information contained in the combined reports relating solely to Evergy Kansas Central and its consolidated subsidiaries was separately filed by Evergy Kansas Central on its behalf and the information therein relating solely to Evergy Metro and its consolidated subsidiaries was separately filed by us. We do not intend to incorporate by reference in this prospectus supplement the information relating to Evergy and its subsidiaries (other than Evergy Metro and its consolidated subsidiaries), and we make no representation as to the information relating to Evergy and its subsidiaries (other than Evergy Metro and its consolidated subsidiaries) contained therein. The only information you should rely upon in determining whether to invest in the Bonds offered hereby is the information of Evergy Metro and its consolidated subsidiaries contained in this prospectus supplement and the accompanying prospectus, the information separately provided by Evergy Metro and its consolidated subsidiaries in the documents incorporated by reference herein and any free writing prospectus used in connection with the offering of Bonds described in this prospectus supplement and the accompanying prospectus.</w:t>
      </w:r>
    </w:p>
    <w:p>
      <w:pPr>
        <w:spacing w:after="0" w:line="82"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Metro, Inc., 1200 Main Street, Kansas City, Missouri 64105 (Telephone No.: (816)</w:t>
      </w:r>
    </w:p>
    <w:p>
      <w:pPr>
        <w:spacing w:after="0" w:line="5" w:lineRule="exact"/>
        <w:rPr>
          <w:rFonts w:ascii="Times New Roman" w:cs="Times New Roman" w:eastAsia="Times New Roman" w:hAnsi="Times New Roman"/>
          <w:sz w:val="18"/>
          <w:szCs w:val="18"/>
          <w:color w:val="auto"/>
        </w:rPr>
      </w:pPr>
    </w:p>
    <w:p>
      <w:pPr>
        <w:jc w:val="right"/>
        <w:ind w:left="120" w:right="5300"/>
        <w:spacing w:after="0" w:line="433" w:lineRule="auto"/>
        <w:rPr>
          <w:sz w:val="20"/>
          <w:szCs w:val="20"/>
          <w:color w:val="auto"/>
        </w:rPr>
      </w:pPr>
      <w:r>
        <w:rPr>
          <w:rFonts w:ascii="Times New Roman" w:cs="Times New Roman" w:eastAsia="Times New Roman" w:hAnsi="Times New Roman"/>
          <w:sz w:val="18"/>
          <w:szCs w:val="18"/>
          <w:color w:val="auto"/>
        </w:rPr>
        <w:t>556-2200), Attention: Corporate Secretary, or by contacting us on our website. S-5</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summary in conjunction with the more detailed information in this prospectus supplement, the accompanying prospectus and the documents incorporated herein and therein by reference.</w:t>
      </w:r>
    </w:p>
    <w:p>
      <w:pPr>
        <w:spacing w:after="0" w:line="1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Evergy Metro, Inc., a Missouri corporation incorporated in 1922 and headquartered in Kansas City, Missouri, is an integrated, regulated electric utility that engages in the generation, transmission, distribution and sale of electricity. As of December 31, 2024, we served approximately 586,500 customers located in western Missouri and eastern Kansas. Our customers included approximately 519,700 residences, 65,000 commercial firms, and 1,800 industrials, municipalities and other electric utilities as of December 31, 2024. Our retail revenues averaged approximately 86% of our total operating revenues over the last three years. Wholesale firm power, bulk power sales and miscellaneous electric revenues accounted for the remainder of our revenues. We are significantly impacted by seasonality with approximately one-third of our retail revenues recorded in the third quarter. Missouri and Kansas jurisdictional retail revenues averaged approximately 55% and 45%, respectively, of total retail revenues over the last three years.</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1200 Main Street, Kansas City, Missouri 64105, and our telephone number is (816) 556-2200.</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6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General Mortgage Bonds” and the information included or incorporated by reference herein and therein before making an investment decision.</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5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Evergy Metro, Inc.</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Bonds Offered</w:t>
            </w:r>
          </w:p>
        </w:tc>
        <w:tc>
          <w:tcPr>
            <w:tcW w:w="2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We are offering $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principal amount of       % Mortgage Bonds,</w:t>
            </w:r>
          </w:p>
        </w:tc>
      </w:tr>
      <w:tr>
        <w:trPr>
          <w:trHeight w:val="234"/>
        </w:trPr>
        <w:tc>
          <w:tcPr>
            <w:tcW w:w="2920" w:type="dxa"/>
            <w:vAlign w:val="bottom"/>
          </w:tcPr>
          <w:p>
            <w:pPr>
              <w:spacing w:after="0"/>
              <w:rPr>
                <w:sz w:val="20"/>
                <w:szCs w:val="20"/>
                <w:color w:val="auto"/>
              </w:rPr>
            </w:pPr>
          </w:p>
        </w:tc>
        <w:tc>
          <w:tcPr>
            <w:tcW w:w="26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6"/>
              </w:rPr>
              <w:t>Series 2025 due 20 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“Bonds”).</w:t>
            </w:r>
          </w:p>
        </w:tc>
        <w:tc>
          <w:tcPr>
            <w:tcW w:w="2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98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w w:val="97"/>
              </w:rPr>
              <w:t>The Bonds will mature on          , 20 </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6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The per annum interest rate on the Bonds will be       %.</w:t>
            </w:r>
          </w:p>
        </w:tc>
        <w:tc>
          <w:tcPr>
            <w:tcW w:w="1040" w:type="dxa"/>
            <w:vAlign w:val="bottom"/>
          </w:tcPr>
          <w:p>
            <w:pPr>
              <w:spacing w:after="0"/>
              <w:rPr>
                <w:sz w:val="24"/>
                <w:szCs w:val="24"/>
                <w:color w:val="auto"/>
              </w:rPr>
            </w:pP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6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w w:val="97"/>
              </w:rPr>
              <w:t>Interest on the Bonds will be payable semi-annually in arrears on       and  </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each</w:t>
            </w:r>
          </w:p>
        </w:tc>
      </w:tr>
      <w:tr>
        <w:trPr>
          <w:trHeight w:val="234"/>
        </w:trPr>
        <w:tc>
          <w:tcPr>
            <w:tcW w:w="2920" w:type="dxa"/>
            <w:vAlign w:val="bottom"/>
          </w:tcPr>
          <w:p>
            <w:pPr>
              <w:spacing w:after="0"/>
              <w:rPr>
                <w:sz w:val="20"/>
                <w:szCs w:val="20"/>
                <w:color w:val="auto"/>
              </w:rPr>
            </w:pPr>
          </w:p>
        </w:tc>
        <w:tc>
          <w:tcPr>
            <w:tcW w:w="26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5"/>
              </w:rPr>
              <w:t>year, beginning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2026.</w:t>
            </w:r>
          </w:p>
        </w:tc>
        <w:tc>
          <w:tcPr>
            <w:tcW w:w="2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and Security</w:t>
            </w: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The Bonds will be secured by the lien of the Mortgage Indenture and will rank equally and</w:t>
            </w:r>
          </w:p>
        </w:tc>
      </w:tr>
      <w:tr>
        <w:trPr>
          <w:trHeight w:val="216"/>
        </w:trPr>
        <w:tc>
          <w:tcPr>
            <w:tcW w:w="2920" w:type="dxa"/>
            <w:vAlign w:val="bottom"/>
          </w:tcPr>
          <w:p>
            <w:pPr>
              <w:spacing w:after="0"/>
              <w:rPr>
                <w:sz w:val="18"/>
                <w:szCs w:val="18"/>
                <w:color w:val="auto"/>
              </w:rPr>
            </w:pP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w w:val="99"/>
              </w:rPr>
              <w:t>ratably (except as to sinking fund and other analogous funds established for the benefit of a</w:t>
            </w:r>
          </w:p>
        </w:tc>
      </w:tr>
      <w:tr>
        <w:trPr>
          <w:trHeight w:val="216"/>
        </w:trPr>
        <w:tc>
          <w:tcPr>
            <w:tcW w:w="2920" w:type="dxa"/>
            <w:vAlign w:val="bottom"/>
          </w:tcPr>
          <w:p>
            <w:pPr>
              <w:spacing w:after="0"/>
              <w:rPr>
                <w:sz w:val="18"/>
                <w:szCs w:val="18"/>
                <w:color w:val="auto"/>
              </w:rPr>
            </w:pP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particular series) with all general mortgage bonds, regardless of series, from time to time</w:t>
            </w:r>
          </w:p>
        </w:tc>
      </w:tr>
      <w:tr>
        <w:trPr>
          <w:trHeight w:val="216"/>
        </w:trPr>
        <w:tc>
          <w:tcPr>
            <w:tcW w:w="2920" w:type="dxa"/>
            <w:vAlign w:val="bottom"/>
          </w:tcPr>
          <w:p>
            <w:pPr>
              <w:spacing w:after="0"/>
              <w:rPr>
                <w:sz w:val="18"/>
                <w:szCs w:val="18"/>
                <w:color w:val="auto"/>
              </w:rPr>
            </w:pP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issued and outstanding under the Mortgage Indenture. As of June 30, 2025, after giving</w:t>
            </w:r>
          </w:p>
        </w:tc>
      </w:tr>
      <w:tr>
        <w:trPr>
          <w:trHeight w:val="216"/>
        </w:trPr>
        <w:tc>
          <w:tcPr>
            <w:tcW w:w="2920" w:type="dxa"/>
            <w:vAlign w:val="bottom"/>
          </w:tcPr>
          <w:p>
            <w:pPr>
              <w:spacing w:after="0"/>
              <w:rPr>
                <w:sz w:val="18"/>
                <w:szCs w:val="18"/>
                <w:color w:val="auto"/>
              </w:rPr>
            </w:pPr>
          </w:p>
        </w:tc>
        <w:tc>
          <w:tcPr>
            <w:tcW w:w="6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 xml:space="preserve">effect to the Bonds offered hereby, we would have had approximately $    </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billion</w:t>
            </w:r>
          </w:p>
        </w:tc>
      </w:tr>
      <w:tr>
        <w:trPr>
          <w:trHeight w:val="234"/>
        </w:trPr>
        <w:tc>
          <w:tcPr>
            <w:tcW w:w="2920" w:type="dxa"/>
            <w:vAlign w:val="bottom"/>
          </w:tcPr>
          <w:p>
            <w:pPr>
              <w:spacing w:after="0"/>
              <w:rPr>
                <w:sz w:val="20"/>
                <w:szCs w:val="20"/>
                <w:color w:val="auto"/>
              </w:rPr>
            </w:pPr>
          </w:p>
        </w:tc>
        <w:tc>
          <w:tcPr>
            <w:tcW w:w="6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aggregate principal amount of general mortgage bonds outstanding.</w:t>
            </w:r>
          </w:p>
        </w:tc>
        <w:tc>
          <w:tcPr>
            <w:tcW w:w="104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25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4"/>
              </w:rPr>
              <w:t>Prior to       , 20 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1"/>
              </w:rPr>
              <w:t>(the date that is  </w:t>
            </w:r>
          </w:p>
        </w:tc>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   months prior to the maturity date of the Bonds</w:t>
            </w:r>
          </w:p>
        </w:tc>
      </w:tr>
      <w:tr>
        <w:trPr>
          <w:trHeight w:val="216"/>
        </w:trPr>
        <w:tc>
          <w:tcPr>
            <w:tcW w:w="2920" w:type="dxa"/>
            <w:vAlign w:val="bottom"/>
          </w:tcPr>
          <w:p>
            <w:pPr>
              <w:spacing w:after="0"/>
              <w:rPr>
                <w:sz w:val="18"/>
                <w:szCs w:val="18"/>
                <w:color w:val="auto"/>
              </w:rPr>
            </w:pP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(the “Par Call Date”)), we may redeem the Bonds at any time in whole, or from time to</w:t>
            </w:r>
          </w:p>
        </w:tc>
      </w:tr>
      <w:tr>
        <w:trPr>
          <w:trHeight w:val="216"/>
        </w:trPr>
        <w:tc>
          <w:tcPr>
            <w:tcW w:w="2920" w:type="dxa"/>
            <w:vAlign w:val="bottom"/>
          </w:tcPr>
          <w:p>
            <w:pPr>
              <w:spacing w:after="0"/>
              <w:rPr>
                <w:sz w:val="18"/>
                <w:szCs w:val="18"/>
                <w:color w:val="auto"/>
              </w:rPr>
            </w:pPr>
          </w:p>
        </w:tc>
        <w:tc>
          <w:tcPr>
            <w:tcW w:w="768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time in part, at our option, at the redemption price (expressed as a percentage of principal</w:t>
            </w:r>
          </w:p>
        </w:tc>
      </w:tr>
      <w:tr>
        <w:trPr>
          <w:trHeight w:val="234"/>
        </w:trPr>
        <w:tc>
          <w:tcPr>
            <w:tcW w:w="2920" w:type="dxa"/>
            <w:vAlign w:val="bottom"/>
          </w:tcPr>
          <w:p>
            <w:pPr>
              <w:spacing w:after="0"/>
              <w:rPr>
                <w:sz w:val="20"/>
                <w:szCs w:val="20"/>
                <w:color w:val="auto"/>
              </w:rPr>
            </w:pPr>
          </w:p>
        </w:tc>
        <w:tc>
          <w:tcPr>
            <w:tcW w:w="6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 of:</w:t>
            </w:r>
          </w:p>
        </w:tc>
        <w:tc>
          <w:tcPr>
            <w:tcW w:w="1040" w:type="dxa"/>
            <w:vAlign w:val="bottom"/>
          </w:tcPr>
          <w:p>
            <w:pPr>
              <w:spacing w:after="0"/>
              <w:rPr>
                <w:sz w:val="20"/>
                <w:szCs w:val="20"/>
                <w:color w:val="auto"/>
              </w:rPr>
            </w:pPr>
          </w:p>
        </w:tc>
      </w:tr>
    </w:tbl>
    <w:p>
      <w:pPr>
        <w:spacing w:after="0" w:line="103" w:lineRule="exact"/>
        <w:rPr>
          <w:sz w:val="20"/>
          <w:szCs w:val="20"/>
          <w:color w:val="auto"/>
        </w:rPr>
      </w:pPr>
    </w:p>
    <w:p>
      <w:pPr>
        <w:ind w:left="4960" w:right="20" w:hanging="269"/>
        <w:spacing w:after="0" w:line="272" w:lineRule="auto"/>
        <w:tabs>
          <w:tab w:leader="none" w:pos="4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Bonds matured on the Par Call Date) on a semi-annual basis (assuming a 360-day year</w:t>
      </w:r>
    </w:p>
    <w:p>
      <w:pPr>
        <w:spacing w:after="0" w:line="2" w:lineRule="exact"/>
        <w:rPr>
          <w:sz w:val="20"/>
          <w:szCs w:val="20"/>
          <w:color w:val="auto"/>
        </w:rPr>
      </w:pPr>
    </w:p>
    <w:p>
      <w:pPr>
        <w:ind w:left="4960" w:right="100"/>
        <w:spacing w:after="0" w:line="260" w:lineRule="auto"/>
        <w:rPr>
          <w:sz w:val="20"/>
          <w:szCs w:val="20"/>
          <w:color w:val="auto"/>
        </w:rPr>
      </w:pPr>
      <w:r>
        <w:rPr>
          <w:rFonts w:ascii="Times New Roman" w:cs="Times New Roman" w:eastAsia="Times New Roman" w:hAnsi="Times New Roman"/>
          <w:sz w:val="18"/>
          <w:szCs w:val="18"/>
          <w:color w:val="auto"/>
        </w:rPr>
        <w:t>consisting of twelve 30-day months) at the Treasury Rate (as defined herein) plus       basis points less (b) interest accrued to the redemption date; and</w:t>
      </w:r>
    </w:p>
    <w:p>
      <w:pPr>
        <w:spacing w:after="0" w:line="87" w:lineRule="exact"/>
        <w:rPr>
          <w:sz w:val="20"/>
          <w:szCs w:val="20"/>
          <w:color w:val="auto"/>
        </w:rPr>
      </w:pPr>
    </w:p>
    <w:p>
      <w:pPr>
        <w:ind w:left="4960" w:hanging="269"/>
        <w:spacing w:after="0"/>
        <w:tabs>
          <w:tab w:leader="none" w:pos="4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Bonds to be redeemed,</w:t>
      </w:r>
    </w:p>
    <w:p>
      <w:pPr>
        <w:spacing w:after="0" w:line="252" w:lineRule="exact"/>
        <w:rPr>
          <w:sz w:val="20"/>
          <w:szCs w:val="20"/>
          <w:color w:val="auto"/>
        </w:rPr>
      </w:pPr>
    </w:p>
    <w:p>
      <w:pPr>
        <w:ind w:left="4340" w:right="160"/>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189" w:lineRule="exact"/>
        <w:rPr>
          <w:sz w:val="20"/>
          <w:szCs w:val="20"/>
          <w:color w:val="auto"/>
        </w:rPr>
      </w:pPr>
    </w:p>
    <w:p>
      <w:pPr>
        <w:ind w:left="4340"/>
        <w:spacing w:after="0" w:line="266" w:lineRule="auto"/>
        <w:rPr>
          <w:sz w:val="20"/>
          <w:szCs w:val="20"/>
          <w:color w:val="auto"/>
        </w:rPr>
      </w:pPr>
      <w:r>
        <w:rPr>
          <w:rFonts w:ascii="Times New Roman" w:cs="Times New Roman" w:eastAsia="Times New Roman" w:hAnsi="Times New Roman"/>
          <w:sz w:val="18"/>
          <w:szCs w:val="18"/>
          <w:color w:val="auto"/>
        </w:rPr>
        <w:t>On or after the Par Call Date, we may redeem the Bonds at any time in whole, or from time to time in part, at our option, at a redemption price equal to 100% of the principal amount of the Bonds to be</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redeemed plus accrued and unpaid interest thereon to, but excluding, the date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See “Description of the Bonds — Optional Redemption” in this prospectus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supplement.</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Form of Bonds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One or more global securities held in the name of The Depository Trust Company (“DTC”)</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its nominee in minimum denominations of $2,000 and integral multiples of $1,000 in</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excess thereof.</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Subject to the limits contained in the Mortgage Indenture that are described under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“Description of the Bonds — Basis for Issuance of the Bonds” and the limits described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under “Description of the Bonds — Ranking and Security” in this prospectus supplement,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any time, without the consent of the holders of the Bonds, create and issue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additional general mortgage bonds under the Mortgage Indenture ranking equally and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ratably with, and having the same terms (except for the price to the public, the issue date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and the first interest payment date, as applicable), as the Bonds offered hereby. Any such</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additional general mortgage bonds, together with the Bonds offered hereby, will constitute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 single series of general mortgage bonds under the Mortgage Indenture; provided that if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any such additional general mortgage bonds are not fungible for U.S. federal income tax</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purposes with the Bonds offered hereby, such additional general mortgage bonds will be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issued under a separate CUSIP number.</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Basis for Issuance of Bonds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issue the Bonds under the Mortgage Indenture based upon the value of unbonded</w:t>
            </w:r>
          </w:p>
        </w:tc>
      </w:tr>
      <w:tr>
        <w:trPr>
          <w:trHeight w:val="214"/>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bondable property. See “Description of General Mortgage Bonds — Security and Priority</w:t>
            </w:r>
          </w:p>
        </w:tc>
      </w:tr>
      <w:tr>
        <w:trPr>
          <w:trHeight w:val="218"/>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Issuance of Additional Mortgage Bonds” in the accompanying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June 30, 2025, we could issue under the Mortgage Indenture:</w:t>
            </w:r>
          </w:p>
        </w:tc>
      </w:tr>
      <w:tr>
        <w:trPr>
          <w:trHeight w:val="319"/>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  based upon the value of unbonded bondable property, up to approximately</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$5.5 billion of additional general mortgage bonds ($         after giving effect to</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this offering); and</w:t>
            </w:r>
          </w:p>
        </w:tc>
      </w:tr>
      <w:tr>
        <w:trPr>
          <w:trHeight w:val="319"/>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  based upon the retirement of previously issued general mortgage bonds, no</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additional general mortgage bonds.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estimated expenses of this offering, are expected to be approximately $          . We intend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to use the net proceeds from this offering (i) to repay at maturity $350,000,000 aggregate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amount of our outstanding 3.65% Senior Notes due August 15, 2025 (the “2025</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 (ii) to repay indebtedness incurred under our commercial paper program and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(iii) for general corporate purposes. As of June 30, 2025, we had outstanding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approximately $305.9 million of short-term indebtedness under our commercial paper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program with a weighted average interest rate of 4.57%. See “Use of Proceeds” in this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172"/>
        </w:trPr>
        <w:tc>
          <w:tcPr>
            <w:tcW w:w="3240" w:type="dxa"/>
            <w:vAlign w:val="bottom"/>
            <w:tcBorders>
              <w:left w:val="single" w:sz="8" w:color="auto"/>
              <w:bottom w:val="single" w:sz="8" w:color="auto"/>
            </w:tcBorders>
          </w:tcPr>
          <w:p>
            <w:pPr>
              <w:spacing w:after="0"/>
              <w:rPr>
                <w:sz w:val="14"/>
                <w:szCs w:val="14"/>
                <w:color w:val="auto"/>
              </w:rPr>
            </w:pPr>
          </w:p>
        </w:tc>
        <w:tc>
          <w:tcPr>
            <w:tcW w:w="7780" w:type="dxa"/>
            <w:vAlign w:val="bottom"/>
            <w:tcBorders>
              <w:bottom w:val="single" w:sz="8" w:color="auto"/>
              <w:right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79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Certain of the underwriters or their affiliates may own some of the 2025 Notes or hold</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some of our outstanding commercial paper that may be repaid using a portion of the net</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proceeds from this offering. It is possible that one or more of the underwriters or their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affiliates could receive 5% or more of the net proceeds from this offering, and in that case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such underwriter would be deemed to have a conflict of interest under Rule 5121 (Public</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Offerings of Securities with Conflicts of Interest) of the Financial Industry Regulatory</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Authority, Inc. (“FINRA”). In the event of any such conflict of interest, such underwriter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would be required to conduct the distribution of the Bonds in accordance with FINRA Rule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5121. See “Underwriting (Conflicts of Interest) — Conflicts of Interest” in this prospectus</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supplement.</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See “Risk Factors” beginning on page S-11 of this prospectus supplement and page 5 of the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accompanying prospectus and other information incorporated by reference in this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prospectus supplement for a discussion of factors you should carefully consider before</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deciding to invest in the Bonds.</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 of the Bonds</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We do not intend to list the Bonds on any securities exchange or seek their quotation on</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any automated dealer quotation system.</w:t>
            </w:r>
          </w:p>
        </w:tc>
      </w:tr>
      <w:tr>
        <w:trPr>
          <w:trHeight w:val="459"/>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Mortgage Trustee</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UMB Bank, N.A.</w:t>
            </w:r>
          </w:p>
        </w:tc>
      </w:tr>
      <w:tr>
        <w:trPr>
          <w:trHeight w:val="186"/>
        </w:trPr>
        <w:tc>
          <w:tcPr>
            <w:tcW w:w="3100" w:type="dxa"/>
            <w:vAlign w:val="bottom"/>
            <w:tcBorders>
              <w:left w:val="single" w:sz="8" w:color="auto"/>
              <w:bottom w:val="single" w:sz="8" w:color="auto"/>
            </w:tcBorders>
          </w:tcPr>
          <w:p>
            <w:pPr>
              <w:spacing w:after="0"/>
              <w:rPr>
                <w:sz w:val="16"/>
                <w:szCs w:val="16"/>
                <w:color w:val="auto"/>
              </w:rPr>
            </w:pPr>
          </w:p>
        </w:tc>
        <w:tc>
          <w:tcPr>
            <w:tcW w:w="7920" w:type="dxa"/>
            <w:vAlign w:val="bottom"/>
            <w:tcBorders>
              <w:bottom w:val="single" w:sz="8" w:color="auto"/>
              <w:right w:val="single" w:sz="8" w:color="auto"/>
            </w:tcBorders>
          </w:tcPr>
          <w:p>
            <w:pPr>
              <w:spacing w:after="0"/>
              <w:rPr>
                <w:sz w:val="16"/>
                <w:szCs w:val="16"/>
                <w:color w:val="auto"/>
              </w:rPr>
            </w:pPr>
          </w:p>
        </w:tc>
      </w:tr>
      <w:tr>
        <w:trPr>
          <w:trHeight w:val="361"/>
        </w:trPr>
        <w:tc>
          <w:tcPr>
            <w:tcW w:w="3100" w:type="dxa"/>
            <w:vAlign w:val="bottom"/>
          </w:tcPr>
          <w:p>
            <w:pPr>
              <w:spacing w:after="0"/>
              <w:rPr>
                <w:sz w:val="24"/>
                <w:szCs w:val="24"/>
                <w:color w:val="auto"/>
              </w:rPr>
            </w:pPr>
          </w:p>
        </w:tc>
        <w:tc>
          <w:tcPr>
            <w:tcW w:w="79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724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98970" cy="372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21" w:lineRule="exact"/>
        <w:rPr>
          <w:sz w:val="20"/>
          <w:szCs w:val="20"/>
          <w:color w:val="auto"/>
        </w:rPr>
      </w:pPr>
    </w:p>
    <w:p>
      <w:pPr>
        <w:ind w:left="300" w:right="280" w:firstLine="426"/>
        <w:spacing w:after="0" w:line="255" w:lineRule="auto"/>
        <w:rPr>
          <w:sz w:val="20"/>
          <w:szCs w:val="20"/>
          <w:color w:val="auto"/>
        </w:rPr>
      </w:pPr>
      <w:r>
        <w:rPr>
          <w:rFonts w:ascii="Times New Roman" w:cs="Times New Roman" w:eastAsia="Times New Roman" w:hAnsi="Times New Roman"/>
          <w:sz w:val="18"/>
          <w:szCs w:val="18"/>
          <w:color w:val="auto"/>
        </w:rPr>
        <w:t>The following summary of consolidated financial data for the years ended December 31, 2022 through December 31, 2024 has been derived from our audited consolidated financial statements and related notes, incorporated by reference in this prospectus supplement. The following summary of consolidated financial data for year to date June 30, 2025 and June 30, 2024 has been derived from our unaudited consolidated financial statements and related notes, incorporated by reference in this prospectus supplement and the accompanying prospectus.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to Date 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revenues</w:t>
            </w:r>
          </w:p>
        </w:tc>
        <w:tc>
          <w:tcPr>
            <w:tcW w:w="2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$ 898.9 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$ 894.9 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1,893.7 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1,889.0 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1,970.6   </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706.9      </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693.5 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1,382.5 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1,364.4 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1,438.4 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$ 192.0      </w:t>
            </w:r>
          </w:p>
        </w:tc>
        <w:tc>
          <w:tcPr>
            <w:tcW w:w="6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$ 201.4      </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511.2      </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524.6      </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532.2   </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$ 105.7      </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$ 107.3 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324.5 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332.0 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355.4 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$ 287.0      </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$ 239.0 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722.0 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743.2 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731.1 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(323.0) </w:t>
            </w:r>
          </w:p>
        </w:tc>
        <w:tc>
          <w:tcPr>
            <w:tcW w:w="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(364.7)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(619.6)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(729.2)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(660.2) </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flows from (used in) financing activities</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37.1      </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125.0 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(102.0)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(13.8)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(69.9)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$ 204.0      </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$ 202.4 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400.6 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416.6 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337.8 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nuclear fuel</w:t>
            </w:r>
          </w:p>
        </w:tc>
        <w:tc>
          <w:tcPr>
            <w:tcW w:w="1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16.3      </w:t>
            </w: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12.3 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28.4 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31.5 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27.9   </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(322.1) </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(362.3)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(619.7)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(757.4)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(780.9) </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4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S-10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20" w:firstLine="440"/>
        <w:spacing w:after="0" w:line="25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w:t>
      </w:r>
      <w:hyperlink r:id="rId14">
        <w:r>
          <w:rPr>
            <w:rFonts w:ascii="Times New Roman" w:cs="Times New Roman" w:eastAsia="Times New Roman" w:hAnsi="Times New Roman"/>
            <w:sz w:val="18"/>
            <w:szCs w:val="18"/>
            <w:i w:val="1"/>
            <w:iCs w:val="1"/>
            <w:u w:val="single" w:color="auto"/>
            <w:color w:val="0000EE"/>
          </w:rPr>
          <w:t>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2024 for a description of additional uncertainties associated with our business, results of operations and financial condition and the forward-looking statements included or incorporated by reference in this prospectus supplement and the accompanying prospectus.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Indebtedness — Our indebtedness could adversely affect our ability to fulfill our obligations under the Bonds.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consolidated indebtedness and debt service obligations are significant. Our consolidated interest expense was $70.5 million for the year to date June 30, 2025. As of June 30, 2025, our total consolidated long-term debt, including current maturities, was $3.2 billion, excluding contractual obligations and other commitments, and our total shareholder’s equity was $3.4 billion.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agreement that governs our senior unsecured revolving credit facility (the “Credit Facility”) and in any other agreements under which we incur debt. The Mortgage Indenture does not, in general, restrict our ability to incur additional debt or to guarantee debt of our affiliates.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could have important consequences to holders of the Bonds, including the following:</w:t>
      </w:r>
    </w:p>
    <w:p>
      <w:pPr>
        <w:spacing w:after="0" w:line="131" w:lineRule="exact"/>
        <w:rPr>
          <w:sz w:val="20"/>
          <w:szCs w:val="20"/>
          <w:color w:val="auto"/>
        </w:rPr>
      </w:pPr>
    </w:p>
    <w:p>
      <w:pPr>
        <w:ind w:left="880" w:right="240" w:hanging="224"/>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w:t>
      </w:r>
    </w:p>
    <w:p>
      <w:pPr>
        <w:spacing w:after="0" w:line="81" w:lineRule="exact"/>
        <w:rPr>
          <w:rFonts w:ascii="Times New Roman" w:cs="Times New Roman" w:eastAsia="Times New Roman" w:hAnsi="Times New Roman"/>
          <w:sz w:val="18"/>
          <w:szCs w:val="18"/>
          <w:color w:val="auto"/>
        </w:rPr>
      </w:pPr>
    </w:p>
    <w:p>
      <w:pPr>
        <w:ind w:left="880" w:right="500" w:hanging="224"/>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prevailing interest rates increase, our interest expense could increase because any borrowings under our Credit Facility and under our commercial paper program and certain tax-exempt bonds on which we are obligated will bear interest at floating rates;</w:t>
      </w:r>
    </w:p>
    <w:p>
      <w:pPr>
        <w:spacing w:after="0" w:line="67" w:lineRule="exact"/>
        <w:rPr>
          <w:rFonts w:ascii="Times New Roman" w:cs="Times New Roman" w:eastAsia="Times New Roman" w:hAnsi="Times New Roman"/>
          <w:sz w:val="18"/>
          <w:szCs w:val="18"/>
          <w:color w:val="auto"/>
        </w:rPr>
      </w:pPr>
    </w:p>
    <w:p>
      <w:pPr>
        <w:ind w:left="880" w:right="720" w:hanging="224"/>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increases our vulnerability to economic downturns, and adverse competitive and industry conditions could place us at a competitive disadvantage compared to those of our competitors that are less leveraged; and</w:t>
      </w:r>
    </w:p>
    <w:p>
      <w:pPr>
        <w:spacing w:after="0" w:line="67" w:lineRule="exact"/>
        <w:rPr>
          <w:rFonts w:ascii="Times New Roman" w:cs="Times New Roman" w:eastAsia="Times New Roman" w:hAnsi="Times New Roman"/>
          <w:sz w:val="18"/>
          <w:szCs w:val="18"/>
          <w:color w:val="auto"/>
        </w:rPr>
      </w:pPr>
    </w:p>
    <w:p>
      <w:pPr>
        <w:jc w:val="both"/>
        <w:ind w:left="880" w:right="40" w:hanging="224"/>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w:t>
      </w:r>
    </w:p>
    <w:p>
      <w:pPr>
        <w:spacing w:after="0" w:line="6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Guarantees — Our parent company is not guaranteeing the Bonds and you should not rely upon information relating to our parent company in determining whether to invest in the Bonds.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described in more detail under “Where You Can Find More Information,” we and our parent company, Evergy, separately file combined annual and quarterly and, at times, combined current reports. However, only the information related to Evergy Metro and its consolidated subsidiaries is incorporated by reference in this prospectus supplement. You should not rely on any information relating solely to Evergy or its subsidiaries (other than Evergy Metro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 premium, if any, or interest on, the Bonds or any other amount that may be required to be paid under the Mortgage Indenture or the Bonds, preventing or curing an event of default under the terms of the Mortgage Indenture, complying with any other obligation under the Mortgage Indenture or the Bonds or otherwise.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Prior Market for the Bonds — There is no prior market for the Bonds, and if a market develops, it may not be liquid and prices of the Bonds may vary.</w:t>
      </w:r>
    </w:p>
    <w:p>
      <w:pPr>
        <w:spacing w:after="0" w:line="4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intend to list the Bonds on any securities exchange or to seek their quotation on any automated dealer quotation system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cannot assure holders of the Bonds that any liquid market for the Bonds will ever develop or be maintained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underwriters have advised us that they currently intend to make a market in the Bonds following this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the underwriters have no obligation to make a market in the Bonds and, at their sole discretion, they may stop at any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there can be no assurance as to the liquidity of any market that may develop for the Bonds, holders’ ability to sell their Bonds or the price at which holders will be able to sell their Bonds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trading market that develops would be affected by many factors independent of and in addition to the foregoing, including:</w:t>
      </w:r>
    </w:p>
    <w:p>
      <w:pPr>
        <w:spacing w:after="0" w:line="92" w:lineRule="exact"/>
        <w:rPr>
          <w:sz w:val="20"/>
          <w:szCs w:val="20"/>
          <w:color w:val="auto"/>
        </w:rPr>
      </w:pPr>
    </w:p>
    <w:p>
      <w:pPr>
        <w:ind w:left="980" w:hanging="43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Bonds;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Bonds;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optional redemption of the Bonds;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11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ratings and ratings on the Bonds may be decreased, suspended or withdrawn and may not reflect all risks of your investment in the Bonds.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Evergy Metro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Metro’s credit ratings could decrease as a result of events directly affecting Evergy and its subsidiaries (other than Evergy Metro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w:t>
      </w:r>
    </w:p>
    <w:p>
      <w:pPr>
        <w:spacing w:after="0" w:line="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Evergy Metro’s credit ratings are an assessment by rating agencies of our ability to pay our debts when due. Consequently, real or anticipated changes in our credit ratings generally will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 estimated expenses of this offering, are expected to be approximately $        . We intend to use the net proceeds from this offering (i) to repay at maturity $350,000,000 aggregate principal amount of our outstanding 2025 Notes, (ii) to repay indebtedness incurred under our commercial paper program and (iii) for general corporate purposes. As of June 30, 2025, we had outstanding approximately $305.9 million of short-term indebtedness under our commercial paper program with a weighted average interest rate of 4.57%.</w:t>
      </w:r>
    </w:p>
    <w:p>
      <w:pPr>
        <w:spacing w:after="0" w:line="7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portion of the net proceeds may be invested temporarily in short-term interest bearing accounts, securities or similar investments until they are used for their intended purpose.</w:t>
      </w:r>
    </w:p>
    <w:p>
      <w:pPr>
        <w:spacing w:after="0" w:line="5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their affiliates may own some of the 2025 Notes or hold some of our outstanding commercial paper that may be repaid using a portion of the net proceeds from this offering. See “Underwriting (Conflicts of Interest) — Conflicts of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BONDS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Bonds supplements and, to the extent inconsistent therewith, replaces the description of the general terms and provisions of the Bonds set forth in the accompanying prospectus under “Description of General Mortgage Bonds,” to which reference is hereby made. Whenever a defined term is referred to and not herein defined, the definition thereof is contained in the accompanying prospectus or in the Mortgage Indenture referred to therein.</w:t>
      </w:r>
    </w:p>
    <w:p>
      <w:pPr>
        <w:spacing w:after="0" w:line="7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“Description of General Mortgage Bonds” in the accompanying prospectus, is a summary of the material provisions of the Bonds and the Mortgage Indenture and does not purport to be complete. This summary is subject to and is qualified by reference to all the provisions of the Bonds and the Mortgage Indenture, including the definition of certain terms used in the Mortgage Indenture. We urge you to read the Mortgage Indenture because it, and not this description, defines your rights as a holder of the Bonds.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Bonds constitute a single series of general mortgage bonds to be issued under the General Mortgage Indenture and Deed of Trust, dated as of December 1, 1986, as supplemented from time to time, including by the Twenty-second Supplemental Indenture, to be dated as of August     , 2025, establishing the terms of the Bonds, each executed by the Company and UMB Bank, N.A. (formerly United Missouri Bank of Kansas City, N.A.), as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refer in this prospectus supplement to such general mortgage bonds as the “general mortgage bonds,” to such General Mortgage Indenture and Deed of Trust, as supplemented, as the “Mortgage Indenture” and to UMB Bank, N.A. as the “Mortgage Trustee.” The Bonds will initially be limited to $        aggregate principal amount and will mature on         , 20  .</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Bonds will bear interest at the rate per annum set forth on the cover page of this prospectus supplement from the date of issuance or from the most recent interest payment date to which interest has been paid or provided for, payable semi-annually in arrears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of each year, beginning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2026, to the persons in whose names the Bonds are registered at the close of business on the record date for the interest payment date, which will be the close of business on (i) the Business Day (as defined herein) immediately preceding such interest payment date so long as all of the Bonds remain in book-entry only form or (ii) the fifteenth calendar day immediately preceding each interest payment date if any of the Bonds do not remain in book-entry only form, whether or not such day is a Business Day. Interest will be computed on the basis of a 360-day year comprised of twelve 30-day months. If any date on which interest is payable on the Bonds is not a Business Day, then payment of the interest payable on that date will be made on the next succeeding day which is a Business Day (and without any additional interest or other payment in respect of any delay).</w:t>
      </w:r>
    </w:p>
    <w:p>
      <w:pPr>
        <w:spacing w:after="0" w:line="30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“Business Day” means, with respect to the Bonds, any day other than a day on which banking institutions in New York, New York are authorized or required by law to close.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Bonds will be issued only in registered form in minimum denominations of $2,000 and in integral multiples of $1,000 in excess thereof.</w:t>
      </w:r>
    </w:p>
    <w:p>
      <w:pPr>
        <w:spacing w:after="0" w:line="113"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will initially offer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 aggregate principal amount of the Bonds. Subject to the limits contained in the Mortgage Indenture that are described under “— Basis for Issuance of the Bonds” and the limits described under “— Ranking and Security” in this prospectus supplement, we may, at any time, without the consent of the holders of the Bonds, issue additional general mortgage bonds under the Mortgage Indenture ranking equally and ratably with, and having the same interest rate, maturity and other terms (except for the price to public, the issue date and the first interest payment date, as applicable), as the Bonds being offered hereby. Any such additional general mortgage bonds, together with the Bonds offered hereby, will constitute a single series of general mortgage bonds under the Mortgage Indenture; provided that if any such additional general mortgage bonds are not fungible for U.S. federal income tax purposes with the Bonds offered hereby, such additional general mortgage bonds will be issued under a separate CUSIP number.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Issuance of the Bonds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issue the Bonds under the Mortgage Indenture based upon the value of unbonded bondable property. As of June 30, 2025, we could issue under the Mortgage Indenture:</w:t>
      </w:r>
    </w:p>
    <w:p>
      <w:pPr>
        <w:spacing w:after="0" w:line="67" w:lineRule="exact"/>
        <w:rPr>
          <w:sz w:val="20"/>
          <w:szCs w:val="20"/>
          <w:color w:val="auto"/>
        </w:rPr>
      </w:pPr>
    </w:p>
    <w:p>
      <w:pPr>
        <w:ind w:left="880" w:hanging="21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w:t>
        <w:tab/>
        <w:t>based upon the value of unbonded bondable property, up to approximately $5.5 billion of additional general mortgage bonds ($        after giving effect to this offering); and</w:t>
      </w:r>
    </w:p>
    <w:p>
      <w:pPr>
        <w:spacing w:after="0" w:line="67" w:lineRule="exact"/>
        <w:rPr>
          <w:sz w:val="20"/>
          <w:szCs w:val="20"/>
          <w:color w:val="auto"/>
        </w:rPr>
      </w:pPr>
    </w:p>
    <w:p>
      <w:pPr>
        <w:ind w:left="660"/>
        <w:spacing w:after="0"/>
        <w:tabs>
          <w:tab w:leader="none" w:pos="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based upon the retirement of previously issued general mortgage bonds, no additional general mortgage bonds.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see “Description of General Mortgage Bonds — Security and Priority — Issuance of Additional Mortgage Bonds” in the accompanying prospectus.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and Security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Bonds will be secured by the lien of the Mortgage Indenture and will rank equally and ratably (except as to sinking funds and other analogous funds established for the exclusive benefit of a particular series) with all general mortgage bonds, regardless of series, from time to time issued and outstanding under the Mortgage 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more information, see “Description of General Mortgage Bonds — Security and Priority” in the accompanying prospectus. As of June 30, 2025, after giving effect to the Bonds offered hereby we would have had approximately $        billion aggregate principal amount of general mortgage bonds outstanding.</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Prior to         , 20  (the date that is         months prior to the maturity date of the Bonds (the “Par Call Date”)), we may redeem the Bonds at any time in whole, or from time to time in part, at our option, at a redemption price (expressed as a percentage of principal amount and rounded to three decimal places) equal to the greater of:</w:t>
      </w:r>
    </w:p>
    <w:p>
      <w:pPr>
        <w:spacing w:after="0" w:line="81" w:lineRule="exact"/>
        <w:rPr>
          <w:sz w:val="20"/>
          <w:szCs w:val="20"/>
          <w:color w:val="auto"/>
        </w:rPr>
      </w:pPr>
    </w:p>
    <w:p>
      <w:pPr>
        <w:ind w:left="880" w:right="120" w:hanging="224"/>
        <w:spacing w:after="0" w:line="276" w:lineRule="auto"/>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Bonds matured on the Par Call Date) on a semi-annual basis (assuming a 360-day year consisting of twelve 30-day months) at</w:t>
      </w:r>
    </w:p>
    <w:p>
      <w:pPr>
        <w:spacing w:after="0" w:line="1" w:lineRule="exact"/>
        <w:rPr>
          <w:sz w:val="20"/>
          <w:szCs w:val="20"/>
          <w:color w:val="auto"/>
        </w:rPr>
      </w:pPr>
    </w:p>
    <w:p>
      <w:pPr>
        <w:ind w:left="880"/>
        <w:spacing w:after="0"/>
        <w:tabs>
          <w:tab w:leader="none" w:pos="5020" w:val="left"/>
        </w:tabs>
        <w:rPr>
          <w:sz w:val="20"/>
          <w:szCs w:val="20"/>
          <w:color w:val="auto"/>
        </w:rPr>
      </w:pPr>
      <w:r>
        <w:rPr>
          <w:rFonts w:ascii="Times New Roman" w:cs="Times New Roman" w:eastAsia="Times New Roman" w:hAnsi="Times New Roman"/>
          <w:sz w:val="18"/>
          <w:szCs w:val="18"/>
          <w:color w:val="auto"/>
        </w:rPr>
        <w:t xml:space="preserve">the Treasury Rate applicable to the Bonds plus           </w:t>
      </w:r>
      <w:r>
        <w:rPr>
          <w:sz w:val="20"/>
          <w:szCs w:val="20"/>
          <w:color w:val="auto"/>
        </w:rPr>
        <w:tab/>
      </w:r>
      <w:r>
        <w:rPr>
          <w:rFonts w:ascii="Times New Roman" w:cs="Times New Roman" w:eastAsia="Times New Roman" w:hAnsi="Times New Roman"/>
          <w:sz w:val="17"/>
          <w:szCs w:val="17"/>
          <w:color w:val="auto"/>
        </w:rPr>
        <w:t>basis points less (b) interest accrued to the redemption date; and</w:t>
      </w:r>
    </w:p>
    <w:p>
      <w:pPr>
        <w:spacing w:after="0" w:line="112" w:lineRule="exact"/>
        <w:rPr>
          <w:sz w:val="20"/>
          <w:szCs w:val="20"/>
          <w:color w:val="auto"/>
        </w:rPr>
      </w:pPr>
    </w:p>
    <w:p>
      <w:pPr>
        <w:ind w:left="660"/>
        <w:spacing w:after="0"/>
        <w:tabs>
          <w:tab w:leader="none" w:pos="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100% of the principal amount of the Bonds to be redeemed,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117"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On or after the Par Call Date, we may redeem the Bonds at any time in whole, or from time to time in part, at our option, at a redemption price equal to 100% of the principal amount of the Bonds to be redeemed, plus accrued and unpaid interest thereon to, but excluding, the redemption date.</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optional redemption provisions, the following term has the following meaning: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11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w:t>
      </w:r>
    </w:p>
    <w:p>
      <w:pPr>
        <w:spacing w:after="0" w:line="93" w:lineRule="exact"/>
        <w:rPr>
          <w:sz w:val="20"/>
          <w:szCs w:val="20"/>
          <w:color w:val="auto"/>
        </w:rPr>
      </w:pPr>
    </w:p>
    <w:p>
      <w:pPr>
        <w:ind w:left="880" w:right="900" w:hanging="224"/>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right="220" w:hanging="224"/>
        <w:spacing w:after="0" w:line="261"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85" w:lineRule="exact"/>
        <w:rPr>
          <w:rFonts w:ascii="Times New Roman" w:cs="Times New Roman" w:eastAsia="Times New Roman" w:hAnsi="Times New Roman"/>
          <w:sz w:val="18"/>
          <w:szCs w:val="18"/>
          <w:color w:val="auto"/>
        </w:rPr>
      </w:pPr>
    </w:p>
    <w:p>
      <w:pPr>
        <w:ind w:left="880" w:right="140" w:hanging="224"/>
        <w:spacing w:after="0" w:line="261"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7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Mortgage Trustee shall have no obligation or duty whatsoever to determine, or to verify our calculations of, the redemption price.</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Notice of any redemption will be mailed at least 10 days but not more than 40 days before the redemption date to each holder of the Bonds to be redeemed. Unless we default in payment of the redemption price, on and after the redemption date, interest will cease to accrue on the Bonds or portions thereof called for redemption. If less than all of the Bonds are to be redeemed, the particular Bonds or portions of such Bonds to be redeemed will be selected by DTC in such manner as it shall determine.</w:t>
      </w:r>
    </w:p>
    <w:p>
      <w:pPr>
        <w:spacing w:after="0" w:line="7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at the time of mailing any notice of redemption, we have not irrevocably directed the Mortgage Trustee to apply funds to redeem all the Bonds called for redemption, such notice of redemption at our option may state that such redemption is subject to the receipt by the Mortgage Trustee on or prior to the date fixed for such redemption, of money sufficient to pay the principal of and premium, if any, and interest on, such Bonds and that such notice will be of no effect unless moneys are so received before the date fixed for redemption.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Bonds will not be entitled to the benefit of any sinking fund, or to a special redemption by operation of a sinking fund.</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Guarantees</w:t>
      </w:r>
    </w:p>
    <w:p>
      <w:pPr>
        <w:spacing w:after="0" w:line="119"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The Bonds are not guaranteed by our parent company, Evergy, or any of its or our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those entities has any obligation to make any capital contribution or distributions or to advance funds to Evergy Metro for the purpose of paying the principal of, or premium, if any, or interest on, the Bonds or any other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amount that may be required to be paid under the Mortgage Indenture or the Bonds, preventing or curing an event of default under the terms of the Mortgage Indenture or complying with any other obligation under the Mortgage Indenture or the Bonds or otherwise.</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Mortgage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our affiliates maintain corporate trust and other banking relationships (including borrowing) with UMB Bank, N.A. and its affiliates.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Indenture, and the beneficial owners of such Bonds will be entitled only to those rights and benefits afforded to them in accordance with the depositary’s regular operating procedures. The depositary has confirmed to us, the underwriters and the Mortgage Trustee that it intends to follow such procedures with respect to the Bonds. A further description of the depositary’s procedures with respect to global securities is set forth in the accompanying prospectus under “Book-Entry System.”</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w:t>
      </w:r>
    </w:p>
    <w:p>
      <w:pPr>
        <w:spacing w:after="0" w:line="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8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that may be relevant to the purchase, ownership and disposition of the Bonds. Because this discussion is a summary, it does not address all aspects of taxation that may be relevant to a particular holder of the Bonds in light of the holder’s personal investment or tax circumstances, or to certain types of holders that are subject to special treatment under the U.S. federal income tax laws, such as:</w:t>
      </w:r>
    </w:p>
    <w:p>
      <w:pPr>
        <w:spacing w:after="0" w:line="85" w:lineRule="exact"/>
        <w:rPr>
          <w:sz w:val="20"/>
          <w:szCs w:val="20"/>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thrifts;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Bonds as part of a “straddle,” a “hedge,” a “constructive sale” transaction or a “conversion transaction”;</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 or expatriates;</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130" w:lineRule="exact"/>
        <w:rPr>
          <w:rFonts w:ascii="Times New Roman" w:cs="Times New Roman" w:eastAsia="Times New Roman" w:hAnsi="Times New Roman"/>
          <w:sz w:val="18"/>
          <w:szCs w:val="18"/>
          <w:color w:val="auto"/>
        </w:rPr>
      </w:pPr>
    </w:p>
    <w:p>
      <w:pPr>
        <w:ind w:left="880" w:right="160" w:hanging="224"/>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 or that hold Bonds through a non-U.S. broker or other non-U.S. intermediary;</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 Bonds in connection with employment or other performance of services;</w:t>
      </w:r>
    </w:p>
    <w:p>
      <w:pPr>
        <w:spacing w:after="0" w:line="130" w:lineRule="exact"/>
        <w:rPr>
          <w:rFonts w:ascii="Times New Roman" w:cs="Times New Roman" w:eastAsia="Times New Roman" w:hAnsi="Times New Roman"/>
          <w:sz w:val="18"/>
          <w:szCs w:val="18"/>
          <w:color w:val="auto"/>
        </w:rPr>
      </w:pPr>
    </w:p>
    <w:p>
      <w:pPr>
        <w:ind w:left="880" w:right="800" w:hanging="224"/>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accruals with respect to the Bonds to their financial statements; and</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pass-through entities or arrangements) or investors in such partnerships (or other pass-through entities or arrangements).</w:t>
      </w:r>
    </w:p>
    <w:p>
      <w:pPr>
        <w:spacing w:after="0" w:line="1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summary assumes that the Bonds are held as capital assets within the meaning of Section 1221 of the Internal Revenue Code of 1986, as amended (the “Code”) for U.S. federal income tax purposes, which generally means property held for investment. In addition, except where otherwise provided, this discussion only addresses the U.S. federal income tax consequences to initial investors that purchase the Bonds for cash, at their original issue price, and does not discuss the tax consequences for subsequent purchasers of the Bonds. It does not consider certain U.S. federal income tax consequences that may be relevant to holders of our indebtedness (such as the 2025 Notes and our commercial paper) that receive repayment in respect of such indebtedness in connection with this offering. In addition, it does not consider any tax consequences arising out of U.S. federal gift, generation-skipping and estate tax laws or under the tax laws of any foreign, state, local or other jurisdiction.</w:t>
      </w:r>
    </w:p>
    <w:p>
      <w:pPr>
        <w:spacing w:after="0" w:line="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that is treated as a partnership for U.S. federal income tax purposes, is a beneficial owner of Bonds, the tax treatment of a partner in the partnership will generally depend on the status of the partner and the activities of the partnership. If you are a partnership that is considering purchasing Bonds (or a partner in such partnership), you should consult with your tax advisor.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upon the Code, applicable Treasury regulations promulgated thereunder, judicial authority and administrative interpretations as of the date hereof, all of which are subject to change,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w:t>
      </w:r>
    </w:p>
    <w:p>
      <w:pPr>
        <w:spacing w:after="0" w:line="7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urge you to consult your own tax advisor about the particular U.S. federal, state, local and foreign tax consequences of the purchase, ownership and disposition of the Bonds and the application of the U.S. federal income tax laws to your particular situation.</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Payments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exercise our right to redeem the Bonds, in whole or in part, we may be obligated to redeem such Bonds at a redemption price in excess of the stated principal thereof and unpaid interest accrued thereon as described under “Description of the Bonds — Optional Redemption” herein.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and that any premium payable upon redemption will not affect the yield to maturity or the maturity date of the Bonds. Assuming this position is respected, you would be required to include in income any such additional amounts at the time the payments are received or accrued, in accordance with your method of accounting for U.S. federal income tax purposes.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 is a beneficial owner of Bonds that, for U.S. federal income tax purposes, is:</w:t>
      </w:r>
    </w:p>
    <w:p>
      <w:pPr>
        <w:spacing w:after="0" w:line="131" w:lineRule="exact"/>
        <w:rPr>
          <w:sz w:val="20"/>
          <w:szCs w:val="20"/>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880" w:right="280" w:hanging="224"/>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880" w:right="20" w:hanging="224"/>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(i) a court within the United States is able to exercise primary supervision over the administration of such trust and one or more United States persons (as defined in the Code) have the authority to control all substantial decisions of the trust or (ii) it has a valid election in place to be treated as a United States person.</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the Bonds are issued at a discount from their stated redemption price at maturity, it is expected, and this discussion assumes, that any such discount will be less than the statutorily defined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Accordingly, stated interest on the Bonds generally will be taxable to a U.S. holder as ordinary interest income at the time such interest is received or accrued in accordance with the U.S. holder’s regular method of accounting for U.S. federal income tax purposes.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taxable gain or loss on the sale, exchange, redemption, retirement or other taxable disposition of a Bond. The amount of the U.S. holder’s gain or loss will equal the difference between the amount the U.S. holder receives for the Bond (except to the extent such amount represents accrued but unpaid interest, which will be treated as ordinary interest income to the extent the U.S. holder has not previously included the accrued interest in gross income) minus the U.S. holder’s tax basis in the Bond. The U.S. holder’s tax basis in a Bond generally will be the price the U.S. holder paid for the Bond.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long-term capital gains of certain non-corporate U.S. holders (including individuals) are eligible for taxation at preferential U.S. federal income tax rates. The deductibility of capital losses against ordinary income is subject to limitations. Each U.S. holder is urged to consult its tax advisor regarding the deductibility of capital losses in its particular situation.</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Tax</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Bonds that is neither (i) a U.S. holder nor (ii) a partnership or other pass-through entity or arrangement that is treated as a partnership for U.S. federal income tax purposes (which, as indicated above, we do not address herein).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Bonds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Non-U.S. holder is not (and, if so requested by the paying agent, certifies that it is not):</w:t>
      </w:r>
    </w:p>
    <w:p>
      <w:pPr>
        <w:spacing w:after="0" w:line="131" w:lineRule="exact"/>
        <w:rPr>
          <w:sz w:val="20"/>
          <w:szCs w:val="20"/>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constructive owner of 10% or more of the total voting power of all our voting stock;</w:t>
      </w:r>
    </w:p>
    <w:p>
      <w:pPr>
        <w:spacing w:after="0" w:line="13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(directly or indirectly) to us through stock ownership; or</w:t>
      </w:r>
    </w:p>
    <w:p>
      <w:pPr>
        <w:spacing w:after="0" w:line="130" w:lineRule="exact"/>
        <w:rPr>
          <w:rFonts w:ascii="Times New Roman" w:cs="Times New Roman" w:eastAsia="Times New Roman" w:hAnsi="Times New Roman"/>
          <w:sz w:val="18"/>
          <w:szCs w:val="18"/>
          <w:color w:val="auto"/>
        </w:rPr>
      </w:pPr>
    </w:p>
    <w:p>
      <w:pPr>
        <w:ind w:left="880" w:hanging="224"/>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receiving interest on an extension of credit made pursuant to a loan agreement with us entered into in the ordinary course of its trade or business; and</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or our paying agent, receive:</w:t>
      </w:r>
    </w:p>
    <w:p>
      <w:pPr>
        <w:spacing w:after="0" w:line="131" w:lineRule="exact"/>
        <w:rPr>
          <w:sz w:val="20"/>
          <w:szCs w:val="20"/>
          <w:color w:val="auto"/>
        </w:rPr>
      </w:pPr>
    </w:p>
    <w:p>
      <w:pPr>
        <w:ind w:left="880" w:right="220" w:hanging="224"/>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Non-U.S. holder, a properly completed IRS Form W-8BEN or W-8BEN-E (or substitute IRS Form W-8BEN or W-8BEN-E or the appropriate successor form), signed under penalties of perjury,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right="180"/>
        <w:spacing w:after="0" w:line="282" w:lineRule="auto"/>
        <w:rPr>
          <w:sz w:val="20"/>
          <w:szCs w:val="20"/>
          <w:color w:val="auto"/>
        </w:rPr>
      </w:pPr>
      <w:r>
        <w:rPr>
          <w:rFonts w:ascii="Times New Roman" w:cs="Times New Roman" w:eastAsia="Times New Roman" w:hAnsi="Times New Roman"/>
          <w:sz w:val="18"/>
          <w:szCs w:val="18"/>
          <w:color w:val="auto"/>
        </w:rPr>
        <w:t>which provides the Non-U.S. holder’s name and address and certifies that the Non-U.S. holder of the Bond is not a United States person (as defined in the Code); or</w:t>
      </w:r>
    </w:p>
    <w:p>
      <w:pPr>
        <w:spacing w:after="0" w:line="67" w:lineRule="exact"/>
        <w:rPr>
          <w:sz w:val="20"/>
          <w:szCs w:val="20"/>
          <w:color w:val="auto"/>
        </w:rPr>
      </w:pPr>
    </w:p>
    <w:p>
      <w:pPr>
        <w:ind w:left="880" w:hanging="224"/>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securities clearing organization, bank or other financial institution that holds the Bonds in the ordinary course of its trade or business (a “financial institution”) on behalf of the Non-U.S. holder, certification under penalties of perjury that such an IRS Form W-8BEN or W-8BEN-E (or substitute IRS Form W-8BEN or W-8BEN-E or the appropriate successor form) has been received by it, or by another such financial institution, from the Non-U.S. holder, and a copy of the IRS Form W-8BEN or W-8BEN-E (or substitute IRS Form W-8BEN or W-8BEN-E or the appropriate successor form) is furnished to the payor.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rules may apply to holders that hold Bonds through “qualified intermediaries” within the meaning of the U.S. federal income tax laws.</w:t>
      </w:r>
    </w:p>
    <w:p>
      <w:pPr>
        <w:spacing w:after="0" w:line="11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interest on a Bond is effectively connected with the conduct by a Non-U.S. holder of a trade or business in the United States (and, if required under an applicable income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a rate of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Non-U.S. holder that does not qualify for an exemption from withholding under the preceding paragraphs generally will be subject to withholding of U.S. federal income tax at a rate of 30% (or lower applicable treaty rate if the Non-U.S. holder qualifies for such applicable treaty benefit and certifies such qualification via an IRS Form W-8BEN or W-8BEN-E, as applicable) on payments of interest on the Bonds. We will not be obligated to make any “gross up” or additional payments in respect of amounts withheld from payments on the Bonds if we determine that we must so withhold in respect of the amounts described above.</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may be required to periodically update their IRS forms.</w:t>
      </w:r>
    </w:p>
    <w:p>
      <w:pPr>
        <w:spacing w:after="0" w:line="1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withholding below, any gain realized by a Non-U.S. holder on the sale, exchange, redemption, retirement or other disposition of a Bond generally will not be subject to U.S. federal income tax, unless:</w:t>
      </w:r>
    </w:p>
    <w:p>
      <w:pPr>
        <w:spacing w:after="0" w:line="67" w:lineRule="exact"/>
        <w:rPr>
          <w:sz w:val="20"/>
          <w:szCs w:val="20"/>
          <w:color w:val="auto"/>
        </w:rPr>
      </w:pPr>
    </w:p>
    <w:p>
      <w:pPr>
        <w:ind w:left="880" w:right="200" w:hanging="224"/>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in the United States and, if required by an applicable tax treaty, such gain is attributable to a permanent establishment or a fixed base maintained by the Non-U.S. holder in the United States; or</w:t>
      </w:r>
    </w:p>
    <w:p>
      <w:pPr>
        <w:spacing w:after="0" w:line="81" w:lineRule="exact"/>
        <w:rPr>
          <w:rFonts w:ascii="Times New Roman" w:cs="Times New Roman" w:eastAsia="Times New Roman" w:hAnsi="Times New Roman"/>
          <w:sz w:val="18"/>
          <w:szCs w:val="18"/>
          <w:color w:val="auto"/>
        </w:rPr>
      </w:pPr>
    </w:p>
    <w:p>
      <w:pPr>
        <w:ind w:left="880" w:right="220" w:hanging="224"/>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such disposition (as determined under the Code) and certain other conditions are satisfied.</w:t>
      </w:r>
    </w:p>
    <w:p>
      <w:pPr>
        <w:spacing w:after="0" w:line="54"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the first bullet point applies, the Non-U.S. holder generally will be subject to U.S. federal income tax with respect to such gain in the same manner as U.S. holders, as described above, unless such Non-U.S. holder qualifies under an applicable income tax treaty that provides otherwise. In addition, if such Non-U.S. holder is classified as a corporation for U.S. federal income tax purposes, such Non-U.S. holder may also be subject to the branch profits tax described above. If the second bullet point applies, the Non-U.S. holder generally will be subject to U.S. federal income tax at a rate of 30% (or at a reduced rate if such Non-U.S. holder qualifies under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an applicable income tax treaty) on the amount by which capital gains from U.S. sources (including gains from the sale, exchange, redemption, retirement or other disposition of the Bonds) exceed capital losses allocable to U.S. sources during the taxable year of such disposition of the Bonds.</w:t>
      </w:r>
    </w:p>
    <w:p>
      <w:pPr>
        <w:spacing w:after="0" w:line="3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Gain realized on a disposition of a Bond will not include amounts that represent accrued but unpaid interest, which will be treated as described under “—Payments on the Bonds” herein.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Payments of interest to a Non-U.S. holder generally will be reported to the IRS and to the Non-U.S. holder. Copies of applicable IRS information returns may be made available under the provisions of a specific income tax treaty or agreement with the tax authorities of the country in which the Non-U.S. holder resides. Non-U.S. holders are generally exempt from backup withholding and additional information reporting on payments of principal or interest on a Bond and the payment of proceeds from the sale of a Bond, provided that the Non-U.S. holder (i) certifies its nonresident status on the appropriate IRS Form W-8 (or a suitable substitute form) and certain other conditions are met or (ii) otherwise establishes an exemption. Backup withholding is not an additional tax. Any backup withholding generally will be allowed as a credit or refund against the Non-U.S. holder’s U.S. federal income tax liability provided that the required information is timely furnished to the IRS.</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Under the Foreign Account Tax Compliance Act provisions of the Code and related U.S. Treasury guidance (“FATCA”), a U.S. federal withholding tax at a rate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We will not be obligated to make any “gross up” or additional payments in respect of amounts withheld on the Bonds if we determine that we must so withhold in order to comply with FATCA in respect of the amounts described above.</w:t>
      </w:r>
    </w:p>
    <w:p>
      <w:pPr>
        <w:spacing w:after="0" w:line="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w:t>
      </w:r>
    </w:p>
    <w:p>
      <w:pPr>
        <w:spacing w:after="0" w:line="7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Prospective purchasers of the Bonds should consult their own tax advisors regarding the application of FATCA to the purchase, ownership and disposition of Bonds in their particular circumstances.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contained in an underwriting agreement, dated the date of this prospectus supplement, between us and the underwriters named below, for whom BNY Mellon Capital Markets, LLC, Citigroup Global Markets Inc., Goldman Sachs &amp; Co. LLC and J.P. Morgan Securities LLC are acting as representatives, we have agreed to sell to the underwriters, and the underwriters have agreed to purchase from us, severally and not jointly, the principal amount of Bonds that appears opposite their names in the table below:</w:t>
      </w:r>
    </w:p>
    <w:p>
      <w:pPr>
        <w:spacing w:after="0" w:line="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12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9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Bonds</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BNY Mellon Capital Markets, LLC</w:t>
            </w:r>
          </w:p>
        </w:tc>
        <w:tc>
          <w:tcPr>
            <w:tcW w:w="3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2"/>
            <w:shd w:val="clear" w:color="auto" w:fill="CCEEFF"/>
          </w:tcPr>
          <w:p>
            <w:pPr>
              <w:ind w:left="3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Bonds subject to their acceptance of the Bonds from us and subject to prior sale. The underwriting agreement provides that the obligations of the several underwriters to pay for and accept delivery of the Bonds offered hereby are subject to certain conditions. The underwriting agreement provides that the underwriters are obligated to purchase all of the Bonds, if any are purchased. If an underwriter defaults, the underwriting agreement provides that the purchase commitments of the non-defaulting underwriters may be increased or the underwriting agreement may be terminated.</w:t>
      </w:r>
    </w:p>
    <w:p>
      <w:pPr>
        <w:spacing w:after="0" w:line="75" w:lineRule="exact"/>
        <w:rPr>
          <w:sz w:val="20"/>
          <w:szCs w:val="20"/>
          <w:color w:val="auto"/>
        </w:rPr>
      </w:pPr>
    </w:p>
    <w:p>
      <w:pPr>
        <w:ind w:left="120" w:right="340" w:firstLine="440"/>
        <w:spacing w:after="0" w:line="257" w:lineRule="auto"/>
        <w:rPr>
          <w:sz w:val="20"/>
          <w:szCs w:val="20"/>
          <w:color w:val="auto"/>
        </w:rPr>
      </w:pPr>
      <w:r>
        <w:rPr>
          <w:rFonts w:ascii="Times New Roman" w:cs="Times New Roman" w:eastAsia="Times New Roman" w:hAnsi="Times New Roman"/>
          <w:sz w:val="18"/>
          <w:szCs w:val="18"/>
          <w:color w:val="auto"/>
        </w:rPr>
        <w:t>The Bonds sold by the underwriters to the public will initially be offered at the initial price to the public set forth on the cover page of this prospectus supplement and may be offered to certain dealers at this price less a concession not in excess of         % of the aggregate principal amount of the Bonds. The underwriters may allow, and those dealers may reallow, a discount not in excess of         % of the aggregate principal</w:t>
      </w:r>
    </w:p>
    <w:p>
      <w:pPr>
        <w:spacing w:after="0" w:line="1"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amount of the Bonds to certain other dealers. If the Bonds are not sold at the initial price to the public, the underwriters may change the price to the public and the other selling terms. The underwriters may offer and sell Bonds through certain of their affiliates.</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the offering of the Bonds:</w:t>
      </w:r>
    </w:p>
    <w:p>
      <w:pPr>
        <w:spacing w:after="0" w:line="12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Paid by Us</w:t>
            </w: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4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0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Expenses associated with this offering to be paid by us, other than the underwriting discount, are estimated to be approximately $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6"/>
              </w:rPr>
              <w:t>   .</w:t>
            </w:r>
          </w:p>
        </w:tc>
      </w:tr>
    </w:tbl>
    <w:p>
      <w:pPr>
        <w:spacing w:after="0" w:line="90"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have also agreed to indemnify the several underwriters against certain liabilities, including liabilities under the Securities Act of 1933, as amended, or to contribute to payments which the underwriters may be required to make in respect of any such liabilities.</w:t>
      </w:r>
    </w:p>
    <w:p>
      <w:pPr>
        <w:spacing w:after="0" w:line="54"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Bonds are a new issue of securities with no established trading market. We do not intend to list the Bonds on any securities exchange or seek their quotation on any automated dealer quotation system. The underwriters have advised us that they intend to make a market in the Bonds, but they are not obligated to do so. At their sole discretion, the underwriters may discontinue any market making in the Bonds at any time without notice.</w:t>
      </w:r>
    </w:p>
    <w:p>
      <w:pPr>
        <w:spacing w:after="0" w:line="1"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Accordingly, we cannot assure you that a liquid trading market will develop for the Bonds, that you will be able to sell your Bonds at a particular time or that the price you receive when you sell will be favorable.</w:t>
      </w:r>
    </w:p>
    <w:p>
      <w:pPr>
        <w:spacing w:after="0" w:line="7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w:t>
      </w:r>
    </w:p>
    <w:p>
      <w:pPr>
        <w:spacing w:after="0" w:line="6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Affiliates of certain of the underwriters are lenders or agents under the Credit Facility.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our securities or instruments. If any of the underwriters or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or their affiliates may own some of the 2025 Notes or hold some of our outstanding commercial paper that may be repaid using a portion of the net proceeds from this offering. It is possible that one or more of the underwriters or their affiliates could receive 5% or more of the net proceeds from this offering, and in that case such underwriter would be deemed to have a conflict of interest under FINRA Rule 5121. In the event of any such conflict of interest, such underwriter would be 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Delivery of the Bonds is expected to be made against payment therefor on or about the settlement date set forth on the cover page of this prospectus supplement, which will be the       business day following the date of this prospectus supplement (such settlement being referred to as “T+  ”). Under Rule 15c6-1 under the Exchange Act, trades in the secondary market generally are required to settle in one business day, unless the parties to any such trade expressly agree otherwise. Accordingly, purchasers who wish to trade the Bonds on any date prior to the first business day before delivery of the Bonds will be required, by virtue of the fact that the Bonds initially will settle in T+  , to specify an alternate settlement arrangement at the time of any such trade to prevent a failed settlement. Purchasers of the Bonds who wish to trade the Bonds on any date prior to the first business day before delivery of the Bonds should consult their advisors.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Bonds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Bonds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Bonds must be made in accordance with an exemption from, or in a transaction not subject to, the prospectus requirements of applicable securities laws.</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3"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European Economic Area (the “EEA”). For these purposes: (a) the expression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Regulation (EU) No 1286/2014 (as amended, the “PRIIPs Regulation”) for offering or selling the Bonds or otherwise making them available to retail investors in the EEA has been prepared and therefore offering or selling the Bonds or otherwise making them available to any retail investor in the EEA may be unlawful under the PRIIPS Regulation.</w:t>
      </w:r>
    </w:p>
    <w:p>
      <w:pPr>
        <w:spacing w:after="0" w:line="8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Bonds in any member state of the EEA will be made pursuant to an exemption under the Prospectus Regulation from the requirement to publish a prospectus for offers of Bonds. This prospectus supplement and the accompanying prospectus are not a prospectus for the purposes of the Prospectus Regulation.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United Kingdom (the “UK”). For these purposes: (a) the expression “retail investor” means a person who is one (or more) of: (i) a retail client, as defined in point (8) of Article 2 of Regulation (EU) No 2017/565 as it forms part of domestic law by virtue of the European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Union (Withdrawal) Act 2018 (as amended,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and regulations made thereunder (the “UK Prospectus Regulation”) ”);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has been prepared on the basis that any offer of the Bonds in the UK will be made pursuant to an exemption under the FSMA and the UK Prospectus Regulation from the requirement to publish a prospectus for offers of the Bonds. Neither this prospectus supplement nor the accompanying prospectus is a prospectus for the purposes of the FSMA or the UK Prospectus Regulation.</w:t>
      </w:r>
    </w:p>
    <w:p>
      <w:pPr>
        <w:spacing w:after="0" w:line="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for distribution only to persons in the United Kingdom who are qualified investors (as defined in the UK Prospectus Regulation) and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The contents of this prospectus supplement and the accompanying prospectus have not been reviewed or approved by any regulatory authority in Hong Kong. The Bonds may not be offered or sold in Hong Kong by means of any document other than (i) in circumstances which do not constitute an offer to the public within the meaning of the Companies (Winding Up and Miscellaneous Provisions) Ordinance (Cap. 32, Laws of Hong Kong), or</w:t>
      </w:r>
    </w:p>
    <w:p>
      <w:pPr>
        <w:spacing w:after="0" w:line="1" w:lineRule="exact"/>
        <w:rPr>
          <w:sz w:val="20"/>
          <w:szCs w:val="20"/>
          <w:color w:val="auto"/>
        </w:rPr>
      </w:pPr>
    </w:p>
    <w:p>
      <w:pPr>
        <w:ind w:left="120" w:right="40" w:hanging="4"/>
        <w:spacing w:after="0" w:line="252"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Bonds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Bonds which are or are intended to be disposed of only to persons outside Hong Kong or only to “professional investors” within the meaning of the Securities and Futures Ordinance (Cap. 571, Laws of Hong Kong) and any rules made thereunder.</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The Bonds have not been and will not be registered under the Financial Instruments and Exchange Law of Japan (Law No. 25 of 1948, as amended) (the Financial Instruments and Exchange Law) and the Bonds have not been offered or sold and will not be offered or sold, directly or indirectly, in Japan or to, or for the benefit of, any resident of Japan (which term as used herein means any person resident in Japan, including any corporation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in effect at the relevant time.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Bonds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Bonds may not be circulated or distributed, nor may the Bonds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84"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Where the Bonds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whom is an accredited investor, the securities (as defined in Section 239(1) of the SFA) of that corporation shall not be transferable for six months after that corporation has acquired the Bonds under Section 275 of the SFA except (i) to an institutional investor under Section 274 of the SFA or to a relevant person (as defined in Section 275(2) of the SFA), (ii) where such transfer arises from an offer in that corporation’s securities pursuant to</w:t>
      </w:r>
    </w:p>
    <w:p>
      <w:pPr>
        <w:spacing w:after="0" w:line="1" w:lineRule="exact"/>
        <w:rPr>
          <w:sz w:val="20"/>
          <w:szCs w:val="20"/>
          <w:color w:val="auto"/>
        </w:rPr>
      </w:pPr>
    </w:p>
    <w:p>
      <w:pPr>
        <w:ind w:left="120" w:right="660"/>
        <w:spacing w:after="0" w:line="255" w:lineRule="auto"/>
        <w:rPr>
          <w:sz w:val="20"/>
          <w:szCs w:val="20"/>
          <w:color w:val="auto"/>
        </w:rPr>
      </w:pPr>
      <w:r>
        <w:rPr>
          <w:rFonts w:ascii="Times New Roman" w:cs="Times New Roman" w:eastAsia="Times New Roman" w:hAnsi="Times New Roman"/>
          <w:sz w:val="18"/>
          <w:szCs w:val="18"/>
          <w:color w:val="auto"/>
        </w:rPr>
        <w:t>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Bonds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six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Bonds under Section 275 of the SFA except (i) to an institutional investor under Section 274 of the SFA or to a relevant person (as defined in</w:t>
      </w:r>
    </w:p>
    <w:p>
      <w:pPr>
        <w:spacing w:after="0" w:line="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w:t>
      </w:r>
    </w:p>
    <w:p>
      <w:pPr>
        <w:spacing w:after="0" w:line="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August 1, 2025, Ms. Humphrey owned beneficially a number of shares of common stock of Evergy, including restricted stock and performance shares that may be paid in shares of common stock at a later date based on Evergy’s performance, which represented less than 0.1 % of the total outstanding common stock of Evergy.</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Evergy Metro, Inc. as of December 31, 2024 and 2023, and for each of the three years ended December 31, 2024, incorporated by reference in this prospectus supplement, have been audited by Deloitte &amp; Touche LLP, an independent registered public accounting firm, as stated in their report, which is incorporated herein by reference.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EVERGY METRO,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Notes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General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These securities are not obligations of, nor guaranteed by, Evergy, Inc., our corporate parent.</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Evergy Metro, Inc. (“Evergy Metro”) may offer and sell, from time to time, notes and general mortgage bonds in one or more offerings. We may offer the securities simultaneously or at different times, in one or more separate series, in amounts, at prices and on terms to be determined at or prior to the time or times of sale.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these securities. We will provide specific information about the offerings and the terms of these securities in one or more supplements to this prospectus. The supplements may also add, update or change the information contained in this prospectus. This prospectus may not be used to offer and sell our securities unless accompanied by a prospectus supplement. You should read this prospectus and the related prospectus supplements before you invest in these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principal executive offices are located at 1200 Main Street, Kansas City, Missouri 64105 and our telephone number is (816) 556-2200.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You should carefully consider the information referred to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5 of this prospectus.</w:t>
      </w:r>
    </w:p>
    <w:p>
      <w:pPr>
        <w:spacing w:after="0" w:line="16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16, 2024.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4"/>
                <w:szCs w:val="14"/>
                <w:color w:val="0000EE"/>
              </w:rPr>
              <w:t>BOUT</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4"/>
                <w:szCs w:val="14"/>
                <w:color w:val="0000EE"/>
              </w:rPr>
              <w:t>HIS</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ROSPECTUS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4"/>
                <w:szCs w:val="14"/>
                <w:color w:val="0000EE"/>
              </w:rPr>
              <w:t>AUTIONARY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TATEMENTS</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4"/>
                <w:szCs w:val="14"/>
                <w:color w:val="0000EE"/>
              </w:rPr>
              <w:t>EGARDING</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ERTAIN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ORWARD</w:t>
            </w:r>
            <w:r>
              <w:rPr>
                <w:rFonts w:ascii="Times New Roman" w:cs="Times New Roman" w:eastAsia="Times New Roman" w:hAnsi="Times New Roman"/>
                <w:sz w:val="18"/>
                <w:szCs w:val="18"/>
                <w:color w:val="0000EE"/>
              </w:rPr>
              <w:t>-L</w:t>
            </w:r>
            <w:r>
              <w:rPr>
                <w:rFonts w:ascii="Times New Roman" w:cs="Times New Roman" w:eastAsia="Times New Roman" w:hAnsi="Times New Roman"/>
                <w:sz w:val="14"/>
                <w:szCs w:val="14"/>
                <w:color w:val="0000EE"/>
              </w:rPr>
              <w:t>OOKING</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VERGY</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ETRO</w:t>
            </w:r>
            <w:r>
              <w:rPr>
                <w:rFonts w:ascii="Times New Roman" w:cs="Times New Roman" w:eastAsia="Times New Roman" w:hAnsi="Times New Roman"/>
                <w:sz w:val="18"/>
                <w:szCs w:val="18"/>
                <w:color w:val="0000EE"/>
              </w:rPr>
              <w:t>, I</w:t>
            </w:r>
            <w:r>
              <w:rPr>
                <w:rFonts w:ascii="Times New Roman" w:cs="Times New Roman" w:eastAsia="Times New Roman" w:hAnsi="Times New Roman"/>
                <w:sz w:val="14"/>
                <w:szCs w:val="14"/>
                <w:color w:val="0000EE"/>
              </w:rPr>
              <w:t>NC</w:t>
            </w:r>
            <w:r>
              <w:rPr>
                <w:rFonts w:ascii="Times New Roman" w:cs="Times New Roman" w:eastAsia="Times New Roman" w:hAnsi="Times New Roman"/>
                <w:sz w:val="18"/>
                <w:szCs w:val="18"/>
                <w:color w:val="0000EE"/>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4"/>
                <w:szCs w:val="14"/>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ACTORS</w:t>
            </w:r>
          </w:p>
        </w:tc>
        <w:tc>
          <w:tcPr>
            <w:tcW w:w="520" w:type="dxa"/>
            <w:vAlign w:val="bottom"/>
            <w:tcBorders>
              <w:top w:val="single" w:sz="8" w:color="0000EE"/>
            </w:tcBorders>
            <w:gridSpan w:val="3"/>
          </w:tcPr>
          <w:p>
            <w:pPr>
              <w:spacing w:after="0"/>
              <w:rPr>
                <w:sz w:val="24"/>
                <w:szCs w:val="24"/>
                <w:color w:val="auto"/>
              </w:rPr>
            </w:pPr>
          </w:p>
        </w:tc>
        <w:tc>
          <w:tcPr>
            <w:tcW w:w="6900" w:type="dxa"/>
            <w:vAlign w:val="bottom"/>
            <w:gridSpan w:val="8"/>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4"/>
                <w:szCs w:val="14"/>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4"/>
        </w:trPr>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4"/>
                <w:szCs w:val="14"/>
                <w:color w:val="0000EE"/>
              </w:rPr>
              <w:t>OTES</w:t>
            </w:r>
          </w:p>
        </w:tc>
        <w:tc>
          <w:tcPr>
            <w:tcW w:w="6740" w:type="dxa"/>
            <w:vAlign w:val="bottom"/>
            <w:gridSpan w:val="5"/>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3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4"/>
                <w:szCs w:val="14"/>
                <w:color w:val="0000EE"/>
              </w:rPr>
              <w:t>ENERAL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ORTGAGE</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4"/>
                <w:szCs w:val="14"/>
                <w:color w:val="0000EE"/>
              </w:rPr>
              <w:t>ONDS</w:t>
            </w:r>
          </w:p>
        </w:tc>
        <w:tc>
          <w:tcPr>
            <w:tcW w:w="5040" w:type="dxa"/>
            <w:vAlign w:val="bottom"/>
            <w:gridSpan w:val="2"/>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B</w:t>
            </w:r>
            <w:r>
              <w:rPr>
                <w:rFonts w:ascii="Times New Roman" w:cs="Times New Roman" w:eastAsia="Times New Roman" w:hAnsi="Times New Roman"/>
                <w:sz w:val="14"/>
                <w:szCs w:val="14"/>
                <w:color w:val="0000EE"/>
              </w:rPr>
              <w:t>OOK</w:t>
            </w: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NTRY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YSTEM</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4"/>
        </w:trPr>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4"/>
                <w:szCs w:val="14"/>
                <w:color w:val="0000EE"/>
              </w:rPr>
              <w:t>LAN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4"/>
                <w:szCs w:val="14"/>
                <w:color w:val="0000EE"/>
              </w:rPr>
              <w:t>ISTRIBUTION</w:t>
            </w:r>
          </w:p>
        </w:tc>
        <w:tc>
          <w:tcPr>
            <w:tcW w:w="6760" w:type="dxa"/>
            <w:vAlign w:val="bottom"/>
            <w:gridSpan w:val="6"/>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w:t>
            </w:r>
            <w:r>
              <w:rPr>
                <w:rFonts w:ascii="Times New Roman" w:cs="Times New Roman" w:eastAsia="Times New Roman" w:hAnsi="Times New Roman"/>
                <w:sz w:val="14"/>
                <w:szCs w:val="14"/>
                <w:color w:val="0000EE"/>
              </w:rPr>
              <w:t>EGAL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6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XPERTS</w:t>
            </w:r>
          </w:p>
        </w:tc>
        <w:tc>
          <w:tcPr>
            <w:tcW w:w="600" w:type="dxa"/>
            <w:vAlign w:val="bottom"/>
            <w:tcBorders>
              <w:top w:val="single" w:sz="8" w:color="0000EE"/>
            </w:tcBorders>
            <w:gridSpan w:val="2"/>
          </w:tcPr>
          <w:p>
            <w:pPr>
              <w:spacing w:after="0"/>
              <w:rPr>
                <w:sz w:val="24"/>
                <w:szCs w:val="24"/>
                <w:color w:val="auto"/>
              </w:rPr>
            </w:pPr>
          </w:p>
        </w:tc>
        <w:tc>
          <w:tcPr>
            <w:tcW w:w="7260" w:type="dxa"/>
            <w:vAlign w:val="bottom"/>
            <w:gridSpan w:val="10"/>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W</w:t>
            </w:r>
            <w:r>
              <w:rPr>
                <w:rFonts w:ascii="Times New Roman" w:cs="Times New Roman" w:eastAsia="Times New Roman" w:hAnsi="Times New Roman"/>
                <w:sz w:val="14"/>
                <w:szCs w:val="14"/>
                <w:color w:val="0000EE"/>
              </w:rPr>
              <w:t>HERE</w:t>
            </w:r>
            <w:r>
              <w:rPr>
                <w:rFonts w:ascii="Times New Roman" w:cs="Times New Roman" w:eastAsia="Times New Roman" w:hAnsi="Times New Roman"/>
                <w:sz w:val="18"/>
                <w:szCs w:val="18"/>
                <w:color w:val="0000EE"/>
              </w:rPr>
              <w:t xml:space="preserve"> Y</w:t>
            </w:r>
            <w:r>
              <w:rPr>
                <w:rFonts w:ascii="Times New Roman" w:cs="Times New Roman" w:eastAsia="Times New Roman" w:hAnsi="Times New Roman"/>
                <w:sz w:val="14"/>
                <w:szCs w:val="14"/>
                <w:color w:val="0000EE"/>
              </w:rPr>
              <w:t>OU</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AN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IND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i</w:t>
            </w:r>
          </w:p>
        </w:tc>
        <w:tc>
          <w:tcPr>
            <w:tcW w:w="24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BOUT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ROSPECTUS</w:t>
      </w:r>
    </w:p>
    <w:p>
      <w:pPr>
        <w:spacing w:after="0" w:line="22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described in more detail below under “Where You Can Find More Information,” we , Evergy, Inc. (“Evergy”), our parent company, and a wholly-owned subsidiary of Evergy, separately file combined reports under the Securities Exchange Act of 1934, as amended (the “Exchange Act”). However, only the information related to Evergy Metro and its consolidated subsidiaries is incorporated by reference in this prospectus. You should not rely on any information relating solely to Evergy or its subsidiaries (other than Evergy Metro and its consolidated subsidiaries and the information provided separately by Evergy Metro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w:t>
      </w:r>
    </w:p>
    <w:p>
      <w:pPr>
        <w:spacing w:after="0" w:line="188"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Metro,” the “Company,” “we,” “us” or “our” in this prospectus or when we otherwise refer to ourselves in this prospectus, we mean Evergy Metro, Inc. and not any of its subsidiaries, unless the context clearly indicates otherwise. Additionally, when we refer to the Evergy Companies we mean, collectively, Evergy, Inc., Evergy Kansas Central, Inc. (“Evergy Kansas Central”) and Evergy Metro, Inc.</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AUTIONARY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OOKING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Metro with the SEC, and from time to time in current reports on Form 8-K and quarterly reports on Form 10-Q filed by Evergy Metro with the SEC. Each forward-looking statement speaks only as of the date of the particular statement. Evergy Metro undertakes no obligation to publicly update or revise any forward-looking statement, whether as a result of new information, future events or otherwise, except as required by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VERGY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ETRO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Evergy Metro is an integrated, regulated electric utility that provides electricity to customers in the states of Missouri and Kansas.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1200 Main Street, Kansas City, Missouri 64105 and our telephone number is (816) 556-2200.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ACTORS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w:t>
      </w:r>
    </w:p>
    <w:p>
      <w:pPr>
        <w:spacing w:after="0" w:line="4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prospectus supplement relating to any securities we are offering;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55">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by reference into this prospectus;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August 9 , 2024</w:t>
        </w:r>
      </w:hyperlink>
      <w:hyperlink r:id="rId56">
        <w:r>
          <w:rPr>
            <w:rFonts w:ascii="Times New Roman" w:cs="Times New Roman" w:eastAsia="Times New Roman" w:hAnsi="Times New Roman"/>
            <w:sz w:val="18"/>
            <w:szCs w:val="18"/>
            <w:color w:val="000000"/>
          </w:rPr>
          <w:t>, respectively, and incorporated by reference into this prospectus; and</w:t>
        </w:r>
      </w:hyperlink>
    </w:p>
    <w:p>
      <w:pPr>
        <w:spacing w:after="0" w:line="67" w:lineRule="exact"/>
        <w:rPr>
          <w:rFonts w:ascii="Times New Roman" w:cs="Times New Roman" w:eastAsia="Times New Roman" w:hAnsi="Times New Roman"/>
          <w:sz w:val="18"/>
          <w:szCs w:val="18"/>
          <w:color w:val="0000EE"/>
        </w:rPr>
      </w:pPr>
    </w:p>
    <w:p>
      <w:pPr>
        <w:ind w:left="5580" w:hanging="4924"/>
        <w:spacing w:after="0" w:line="454" w:lineRule="auto"/>
        <w:tabs>
          <w:tab w:leader="none" w:pos="10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that we file with the SEC after the date of this prospectus and that are deemed incorporated by reference into this prospectus. 5</w:t>
      </w:r>
    </w:p>
    <w:p>
      <w:pPr>
        <w:sectPr>
          <w:pgSz w:w="11900" w:h="16838" w:orient="portrait"/>
          <w:cols w:equalWidth="0" w:num="1">
            <w:col w:w="10900"/>
          </w:cols>
          <w:pgMar w:left="320" w:top="455"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ROCEEDS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supplement to this prospectus, we anticipate using any net proceeds received by us from the issuance of any of the offered securities for general corporate purposes, including, among others: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retirement or refinancing of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construction expenditures;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represent unsecured obligations of Evergy Metro. We will issue each series of notes under the Indenture, dated as of May 1, 2007, between Evergy Metro and The Bank of New York Mellon Trust Company, N.A., as trustee. We refer to this Indenture in this prospectus as the “Indenture” and to The Bank of New York Mellon Trust Company, N.A. as the “trustee.” If at any time there is more than one trustee under the Indenture, the term “trustee” as used in this section with respect to the notes of any series means the trustee with respect to the notes of that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selected provisions of the Indenture below. However, the following statements are summaries only, do not purport to be complete and are subject to, and qualified in their entirety by, all of the provisions of the Indenture, which is incorporated by reference herein. Certain of the terms used below are used herein with the meanings ascribed to such terms by the Indenture. You should carefully read the summary below and the provisions of the Indenture that may be important to you before investing. The Indenture, and not the description contained herein, defines the rights of the holders of the notes.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notes. The particular terms of the series of notes offered by any prospectus supplement will be described in that prospectus supplement. The Indenture provides that the notes may be issued in one or more series, may be issued at various times, may have differing maturity dates, may bear interest at differing rates and may have other differing terms and conditions, as described below. We need not issue all notes of one series at the same time and, unless otherwise provided, we may reopen a series, without the consent of the holder of the notes of that series for issuances of additional notes. One or more series of the notes may be issued with the same or various maturities at par, above par or at a discount. Notes bearing no interest or interest at a rate which, at the time of issuance, is below the market rate (“Original Issue Discount Securities”) will be sold at a discount (which may be substantial) below their stated principal amount. Federal income tax consequences and other special considerations applicable to any such Original Issue Discount Securities will be described in the prospectus supplement relating to those securities. Unless otherwise described in the applicable prospectus supplement, the Indenture does not limit the aggregate amount of debt, including secured debt, that we or our subsidiaries may incur. There is no limitation of the amount of debt we may issue under the Indenture. The Indenture also permits us to merge or consolidate or to transfer or lease our assets, subject to certain conditions (see “—Consolidation, Merger and Sale or Disposition of Assets” below).</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Each series of notes will be our direct unsecured general obligations and will rank equally with all of our other unsecured and unsubordinated debt. As of June 30, 2024, our aggregate outstanding debt that would have ranked equally with the notes was approximately $434.2 million.</w:t>
      </w:r>
    </w:p>
    <w:p>
      <w:pPr>
        <w:spacing w:after="0" w:line="14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in a prospectus supplement, the notes will effectively rank junior to our mortgage bonds which were issued under our Mortgage Indenture (as defined below) and our senior notes effectively secured pursuant to the Mortgage Indenture through the issuance of collateral mortgage bonds to the trustee in 2019. The Mortgage Indenture constitutes a mortgage lien upon substantially all of our fixed property and franchises, except property that has been, or may in the future be, released from the lien of the Mortgage Indenture. At June 30, 2024, there was approximately $3,079.5 million aggregate principal amount of mortgage bonds and senior notes effectively secured pursuant to the Mortgage Indenture outstanding, which amount does not include certain tax-exempt bonds secured by our mortgage bonds issued under the Mortgage Indenture that we repurchased in September 2015 and are currently held by 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a Particular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applicable to each issuance of notes will specify, among other things: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any limitation on aggregate principal amount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date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any of the notes is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or method of calculation of such rate or rates, for the notes, and the date from which interest will accrue;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regarding the optional or mandatory redemption of any notes, including the redemption date or dates, if any, and the price or prices applicable to such redemption;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are to be issued in whole or in part in the form of one of more global securities and, if so, the identity of the depositary for such global security or global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notes will be issuable;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annual interest rate, if any, of the notes;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notes may be repaid, in whole or in part, at the option of the holder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notes shall be payable;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deletion or modification to the events of default applicable to that series of notes and the covenants for the benefit of the holders of that series;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the notes, including, but not limited to, pursuant to any sinking fund or analogous provision or at the option of a holder thereof and the period or periods within which, the price or prices at which, and the terms and conditions upon which the notes shall be redeemed, purchased, or repaid pursuant to such obligation;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remarketing features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security, assurance, or guarantee for the note;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notes payable upon declaration of acceleration of the maturity of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if any, on which the notes will be listed;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deferral or extension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warrants we may issue to purchase notes;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for us to extend the interest payment periods of the notes, including the maximum duration of any extension and additional interest payable upon exercise of such right;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notes not inconsistent with the provisions of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Transfer and Exchange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notes will initially be issued in the form of one or more global securities, in registered form, without coupons, as described under “Book-Entry System.” The global securities will be registered in the name of a depository, or its nominee, and deposited with, or on behalf of, the depository. Except in the circumstances described under “Book-Entry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System,” owners of beneficial interests in a global security will not be entitled to have notes registered in their names, will not receive or be entitled to receive physical delivery of any notes and will not be considered the registered holders thereof under the Indenture.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Notes of any series will be exchangeable for other notes of the same series of any authorized denominations and of a like aggregate principal amount and tenor. Subject to the terms of the Indenture and the limitations applicable to global securities, notes may be presented for exchange or registration of transfer—duly endorsed or accompanied by a duly executed instrument of transfer—at the office of any transfer agent we may designate for such purpose, without service charge but upon payment of any taxes and other governmental charges, and upon satisfaction of such other reasonable requirements as are described in the Indenture.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transfer agent will be the trustee under the Indenture. We may at any time designate additional transfer agents or rescind the designation of any transfer agent or approve a change in the office through which any transfer agent acts, except that we will be required to maintain a transfer agent in each place of payment for the notes of each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Principal of, and premium, if any, and interest on, notes issued in the form of global securities will be paid in the manner described under “Book-Entry System” or as otherwise set forth in the applicable prospectus supplement.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principal of and any premium and interest on notes of a particular series in the form of certificated securities will be payable at the office of the trustee or at the authorized office of any paying agent or paying agents upon presentation and surrender of such notes. We may at any time designate additional paying agents or rescind the designation of any paying agent or approve a change in the office through which any paying agent acts, except that we will be required to maintain a paying agent in each place of payment for the notes of a particular series. Unless otherwise indicated in the applicable prospectus supplement, interest on the notes of a particular series, other than interest at maturity, that are in the form of certificated securities will be paid by check payable in clearinghouse funds mailed to the person entitled thereto at such person’s address as it appears on the register for such notes maintained by the trustee.</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All monies we pay to the trustee or a paying agent for the payment of the principal of, and premium or interest, if any, on, any note which remain unclaimed at the end of two years after such principal, premium or interest shall have become due and payable will be repaid to us, and the holder of such note thereafter may look only to us for payment thereof. However, any such payment shall be subject to escheat pursuant to state abandoned property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terms for the optional or mandatory redemption of the notes will be set forth in the applicable prospectus supplement. Unless otherwise indicated in the applicable prospectus supplement, notes will be redeemable by us only upon notice by mail not less than 30 nor more than 60 days prior to the date fixed for redemption, and, if less than all the notes of a series are to be redeemed, the particular notes to be redeemed will be selected by such method as shall be provided for any particular series, or in the absence of any such provision, by the trustee in such manner as it shall deem fair and appropriate.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notice of redemption at our option may state that such redemption will be conditional upon receipt by the trustee or the paying agent or agents, on or prior to the date fixed for such redemption, of money sufficient to pay the principal of and premium, if any, and interest on such notes and that if such money has not been so received, such notice will be of no force and effect and we will not be required to redeem such notes.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or Disposition of Assets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may not, without the consent of the holders of any notes, consolidate with or merge into any other corporation or sell, transfer, lease or otherwise dispose of our properties as or substantially as an entirety to any person, unless:</w:t>
      </w:r>
    </w:p>
    <w:p>
      <w:pPr>
        <w:spacing w:after="0" w:line="67" w:lineRule="exact"/>
        <w:rPr>
          <w:sz w:val="20"/>
          <w:szCs w:val="20"/>
          <w:color w:val="auto"/>
        </w:rPr>
      </w:pPr>
    </w:p>
    <w:p>
      <w:pPr>
        <w:ind w:left="1080" w:right="4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transferee corporation or the person which receives such properties pursuant to such sale, transfer, lease or other disposition is a corporation organized and existing under the laws of the United States of America, any state thereof or the District of Columbia;</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transferee corporation or the person which receives such properties pursuant to such sale, transfer, lease or other disposition assumes by supplemental indenture, in a form reasonably satisfactory to the trustee, the due and punctual payment of the principal of and premium and interest, if any, on all the notes outstanding under the Indenture and the performance of every covenant of the Indenture to be performed or observed by us;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trustees for such notes an officer’s certificate and an opinion of counsel, each stating that the transaction complies with the Indenture and the applicable conditions precedent;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(see “—Events of Default”) or event that, after notice or lapse of time, or both, would become an Event of Default, shall have occurred and be continuing.</w:t>
      </w:r>
    </w:p>
    <w:p>
      <w:pPr>
        <w:spacing w:after="0" w:line="162"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Upon any such consolidation, merger, sale, transfer, lease or other disposition of our properties as or substantially as an entirety, the successor corporation formed by such consolidation or into which we are merged or the person to whom such sale, transfer, lease or other disposition is made, shall succeed to, and be substituted for, and may exercise every right and power of, us under the Indenture with the same effect as if such successor corporation or person had been named as us therein, and we will be released from all obligations under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the trustee for such notes and we may enter into one or more supplemental indentures for any of the following purposes:</w:t>
      </w:r>
    </w:p>
    <w:p>
      <w:pPr>
        <w:spacing w:after="0" w:line="67" w:lineRule="exact"/>
        <w:rPr>
          <w:sz w:val="20"/>
          <w:szCs w:val="20"/>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omissions, cure any ambiguity or inconsistency or correct defects, which actions, in each case, are not prejudicial to the interests of the holders of notes of any series in any material respect;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change or elimination will become effective with respect to such series only when there is no note of such series outstanding created prior to the execution of such supplemental indenture which is entitled to the benefit of such provision, or such change or elimination is applicable only to notes of such series issued after the effective date of such change or elimination;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notes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of our covenants in the Indenture and the notes by any permitted successor;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to or confer upon the trustee for any notes, for the benefit of the holders of such notes, any additional rights, remedies, powers or authority;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trustee for any notes to comply with any duties imposed upon it by law;</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specify further the duties and responsibilities of, and to define further the relationship among, the trustee for any notes, any authenticating agent and any paying agent, and to evidence the succession of a successor trustee as permitted under the Indenture;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outstanding notes, to add to the security of all notes, to surrender any right or power conferred upon us by the Indenture or to add any additional events of default with respect to all or any series of outstanding notes;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is not prejudicial to the holders of any notes.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Except as provided above, and except as otherwise provided in the applicable prospectus supplement, the consent of the holders of a majority in aggregate principal amount of the notes of all series then outstanding, considered as one class, is required for the purpose of adding any provisions to, or changing in any manner, or eliminating any of the provisions of, the Indenture pursuant to one or more supplemental indentures or of modifying or waiving in any manner the rights of the holders of the notes; provided, however, that if less than all of the series of notes outstanding are directly affected by a proposed supplemental indenture, then the consent only of the holders of a majority in aggregate principal amount of the outstanding applicable notes of all series so directly affected, considered as one class, will be required.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Notwithstanding the foregoing, no such amendment or modification may, without the consent of each holder of outstanding notes affected thereby:</w:t>
      </w:r>
    </w:p>
    <w:p>
      <w:pPr>
        <w:spacing w:after="0" w:line="142"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of the principal of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change the method of calculating such rate, or extend the time of payment of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premium payable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of any payment of principal of, or any premium or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date on which any note may be redeemed;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of a holder to institute suit for the enforcement of any payment of principal of or any premium or interest on any note;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foregoing requirements or reduce the percentage of outstanding notes necessary to modify or amend the Indenture or to waive any past default.</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the Indenture which has expressly been included solely for the benefit of one or more series of notes, or which modifies the rights of the holders of notes of such series with respect to such covenant or provision, will be deemed not to affect the rights under the Indenture of the holders of the notes of any other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specifically deleted in a supplemental indenture or Board of Directors resolution under which a series of notes is issued, or modified in any such supplemental indenture or resolution, each of the following will constitute an event of default under the Indenture with respect to notes of any series:</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notes of such series within 30 days after the same becomes due and payable;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premium, if any, on any note of such series, as the case may be, within one day after the same becomes due and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breach of any of our other covenants or warranties in the Indenture (other than a covenant or warranty solely for the benefit of one or more series of notes other than such series) for 60 days after written notice to us by the trustee or to us and the trustee by the holders of at least 33% in aggregate principal amount of the outstanding applicable notes of such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assignment or receivership;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applicable prospectus supplement with respect to notes of a particular series.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Additional events of default with respect to a particular series of notes may be specified in a supplemental indenture or resolution of the Board of Directors establishing that series.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event of default with respect to the notes of a particular series necessarily constitutes an event of default with respect to the notes of any other series issued under the Indenture.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any series of notes occurs and is continuing, then either the trustee for such series or the holders of a majority in aggregate principal amount of the outstanding notes of such series, by notice in writing, may declare the principal amount of and interest on all of the notes of such series to be due and payable immediately; provided, however, that if an event of default occurs and is continuing with respect to more than one series of notes under the Indenture, the trustee for such series or the holders of a majority in aggregate principal amount of the outstanding notes of all such series, considered as one class, may make such declaration of acceleration and not the holders of the notes of any one of such series.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 any time after an acceleration with respect to the notes of any series has been declared, but before a judgment or decree for the payment of the money due has been obtained, the event or events of default giving rise to such acceleration will be waived, and the acceleration will be rescinded and annulled, if:</w:t>
      </w:r>
    </w:p>
    <w:p>
      <w:pPr>
        <w:spacing w:after="0" w:line="81" w:lineRule="exact"/>
        <w:rPr>
          <w:sz w:val="20"/>
          <w:szCs w:val="20"/>
          <w:color w:val="auto"/>
        </w:rPr>
      </w:pPr>
    </w:p>
    <w:p>
      <w:pPr>
        <w:ind w:left="1080" w:right="4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deposit with the trustee for such series a sum sufficient to pay all matured installments of interest on all notes of such series, the principal of and premium, if any, on the notes of such series which have become due otherwise than by acceleration and interest thereon at the rate or rates specified in such notes, interest upon overdue installments of interest at the rate or rates specified in such notes, to the extent that payment of such interest is lawful, and all amounts due to the trustee for such series under the Indenture; and</w:t>
      </w:r>
    </w:p>
    <w:p>
      <w:pPr>
        <w:spacing w:after="0" w:line="85"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events of default with respect to the notes of such series, other than the nonpayment of the principal of and accrued interest on the notes of such series which has become due solely by such acceleration, have been cured or waived as provided in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no such waiver or rescission and annulment shall extend to or shall affect any subsequent default or impair any related right.</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shall occur and be continuing, the trustee generally will be under no obligation to exercise any of its rights or powers under the Indenture at the request or direction of any of the holders unless such holders have offered to the trustee reasonable security or indemnity satisfactory to it. Subject to such provisions for the indemnification of the trustee and certain other limitations contained in the Indenture, the holders of a majority in aggregate principal amount of the outstanding notes of any series will have the right to direct the time, method and place of conducting any proceeding for any remedy available to the trustee, or of exercising any trust or power conferred on the trustee, with respect to the notes of that series; provided, however, that if an event of default occurs and is continuing with respect to more than one series of notes, the holders of a majority in aggregate principal amount of the outstanding notes of all those series, considered as one class, will have the right to make such direction, and not the holders of the notes of any one series. Any direction provided by the holders shall not be in conflict with any rule of law or with the Indenture and will not involve the trustee in personal liability in circumstances where reasonable indemnity would not, in the trustee’s sole discretion, be adequate and the trustee may take any other action it deems proper that is not inconsistent with such direction.</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notes of any series may waive any past default or event of default under the Indenture on behalf of all holders of notes of that series with respect to the notes of that series, except a default in the payment of principal of or any premium or interest on such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notes. No holder of notes of any series may institute any proceeding with respect to the Indenture, or for the appointment of a receiver or a trustee, or for any other remedy, unless such holder has previously given to the trustee for such series written notice of a continuing event of default with respect to the notes of such series, the holders of a majority in aggregate principal amount of the outstanding notes of all series in respect of which an event of default has occurred and is continuing, considered as one class, have made written request to the trustee for such series to institute such proceeding and have offered such reasonable indemnity as the trustee may require, and the trustee for such series has failed to institute such proceeding within 60 days after such notice, request and offer. Furthermore, no holder of notes of any series will be entitled to institute any such action if and to the extent that such action would disturb or prejudice the rights of other holders of those notes.</w:t>
      </w:r>
    </w:p>
    <w:p>
      <w:pPr>
        <w:spacing w:after="0" w:line="18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holder of notes of any series has the right, which is absolute and unconditional, to receive payment of the principal of, and premium, if any, and interest on, such notes when due and to institute suit for the enforcement of any such payment, and such rights may not be impaired without the consent of that holder of notes.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trustee, within 90 days after it receives notice of the occurrence of a default with respect to the notes of any series, is required to give the holders of the notes of that series notice of such default, unless cured or waived, but, except in the case of default in the payment of principal of, or premium, if any, or interest on, the notes of that series, the trustee may withhold such notice if it determines in good faith that it is in the interest of such holders to do so. We will be required to deliver to the trustee for the notes each year a certificate as to whether or not, to the knowledge of the officers signing such certificate, we are in compliance with all conditions and covenants under the Indenture, determined without regard to any period of grace or requirement of notice under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applicable prospectus supplement states otherwise, we may elect either:</w:t>
      </w:r>
    </w:p>
    <w:p>
      <w:pPr>
        <w:spacing w:after="0" w:line="131" w:lineRule="exact"/>
        <w:rPr>
          <w:sz w:val="20"/>
          <w:szCs w:val="20"/>
          <w:color w:val="auto"/>
        </w:rPr>
      </w:pPr>
    </w:p>
    <w:p>
      <w:pPr>
        <w:ind w:left="1080" w:right="6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in respect of the notes of any series then outstanding under the Indenture (except for certain obligations to register the transfer or exchange of the notes of such series, replace stolen, lost or mutilated notes, maintain paying agencies and hold monies for payment in trust); or</w:t>
      </w:r>
    </w:p>
    <w:p>
      <w:pPr>
        <w:spacing w:after="0" w:line="81"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the obligations of the Indenture with respect to the notes of any series under any covenants applicable to the notes of such series which are subject to covenant defeasance as described in the Indenture, supplemental indenture or other instrument establishing such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case of either clause (1) or (2), the following conditions, among others, must be met:</w:t>
      </w:r>
    </w:p>
    <w:p>
      <w:pPr>
        <w:spacing w:after="0" w:line="131" w:lineRule="exact"/>
        <w:rPr>
          <w:sz w:val="20"/>
          <w:szCs w:val="20"/>
          <w:color w:val="auto"/>
        </w:rPr>
      </w:pPr>
    </w:p>
    <w:p>
      <w:pPr>
        <w:ind w:left="1080" w:right="10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deposit, in trust, with the trustee money or U.S. government obligations, which through the payment of interest on those obligations and principal of those obligations in accordance with their terms will provide money, in an amount sufficient (in the opinion of a nationally recognized firm of independent accountants, certified to the trustee in writing), without reinvestment, to pay all the principal of, and premium, if any, and interest on, the notes of such series on the dates payments are due (which may include one or more redemption dates designated by us);</w:t>
      </w:r>
    </w:p>
    <w:p>
      <w:pPr>
        <w:spacing w:after="0" w:line="88"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the giving of notice or lapse of time, or both, would become an event of default under the Indenture must have occurred and be continuing on the date of the deposit, and 91 days must have passed after the deposit has been made and, during that period, certain events of default must not have occurred and be continuing as of the end of that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must not cause the trustee to have any conflicting interest with respect to our other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delivered an opinion of counsel to the effect that the holders will not recognize income, gain or loss for federal income tax purposes (and, in the case of paragraph (1) above, such opinion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66" w:lineRule="auto"/>
        <w:rPr>
          <w:sz w:val="20"/>
          <w:szCs w:val="20"/>
          <w:color w:val="auto"/>
        </w:rPr>
      </w:pPr>
      <w:r>
        <w:rPr>
          <w:rFonts w:ascii="Times New Roman" w:cs="Times New Roman" w:eastAsia="Times New Roman" w:hAnsi="Times New Roman"/>
          <w:sz w:val="18"/>
          <w:szCs w:val="18"/>
          <w:color w:val="auto"/>
        </w:rPr>
        <w:t>counsel must be based on a ruling of the Internal Revenue Service or other change in applicable federal income tax law) as a result of the deposit or defeasance and will be subject to federal income tax in the same amounts, in the same manner and at the same times as if the deposit and defeasance had not occurred; and</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delivered an officer’s certificate and an opinion of counsel to the trustee as provided in the Indenture.</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exercise our defeasance option under clause (1) above with respect to notes of any series notwithstanding our prior exercise of our covenant defeasance option under clause (2) above. If we exercise our defeasance option under clause (1) above for notes of any series, payment of the notes of such series may not be accelerated because of a subsequent event of default. If we exercise our covenant defeasance option for notes of any series, payment of the notes of such series may not be accelerated by reference to a subsequent breach of any of the covenants noted under clause</w:t>
      </w:r>
    </w:p>
    <w:p>
      <w:pPr>
        <w:spacing w:after="0" w:line="3" w:lineRule="exact"/>
        <w:rPr>
          <w:sz w:val="20"/>
          <w:szCs w:val="20"/>
          <w:color w:val="auto"/>
        </w:rPr>
      </w:pPr>
    </w:p>
    <w:p>
      <w:pPr>
        <w:jc w:val="both"/>
        <w:ind w:left="120" w:right="60" w:hanging="4"/>
        <w:spacing w:after="0" w:line="253"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the event we fail to comply with our remaining obligations with respect to the notes of any series under the Indenture after exercising our covenant defeasance option and the notes of such series are declared due and payable because of the subsequent occurrence of any event of default, the amount of money and U.S. government obligations on deposit with the trustee may be insufficient to pay amounts due on the notes of such series at the time of the acceleration resulting from that event of default. However, we will remain liable for those payments.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or Removal of Trustee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trustee may resign at any time upon written notice to us specifying the day upon which the resignation is to take effect and such resignation will take effect immediately upon the later of the appointment of a successor trustee and such specified day. The trustee may be removed at any time with respect to notes of any series by an instrument or concurrent instruments in writing filed with the trustee and signed by the holders, or their attorneys-in-fact, of a majority in aggregate principal amount of that series of notes then outstanding. In addition, so long as no event of default or event which, with the giving of notice or lapse of time or both, would become an event of default has occurred and is continuing, we may remove the trustee upon notice to the holder of each note outstanding and the trustee, and appoint a successor trustee.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our affiliates maintain corporate trust and other banking relationships with The Bank of New York Mellon Trust Company, N.A. and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is, and the related notes will be, governed by New York law.</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ORTGAGE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ONDS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issue each series of general mortgage bonds under the General Mortgage Indenture and Deed of Trust, dated as of December 1, 1986, as supplemented from time to time, executed by Evergy Metro and UMB Bank, N.A. (formerly United Missouri Bank of Kansas City, N.A.), as trustee. We refer in this prospectus to the general mortgage bonds as the “mortgage bonds,” to the mortgage as the “Mortgage Indenture” and to UMB Bank, N.A. as the “Mortgage Trustee.”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summarized selected provisions of the Mortgage Indenture below. However, the following statements are an outline only, do not purport to be complete, and are qualified in their entirety by reference to the Mortgage Indenture, which is incorporated by reference as an exhibit to the registration statement of which this prospectus is a part. Certain of the terms used below are used in this prospectus with the meanings ascribed to such terms by the Mortgage Indenture.</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mortgage bonds. The particular terms of the series of mortgage bonds offered by any prospectus supplement will be described in that prospectus supplement. Any terms of the mortgage bonds that are not summarized herein will be described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and Priority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Evergy Metro’s principal plants and properties, insofar as they constitute real estate, are owned; certain other facilities of Evergy Metro are located on premises held by Evergy Metro under leases, permits or easements; and Evergy Metro’s electric transmission and distribution lines and systems (which constitute a substantial portion of Evergy Metro’s investment in physical property) are for the most part located over or under highways, streets, other public places or property owned by others for which permits, grants, easements, licenses or franchises (deemed satisfactory but without examination of underlying land titles) have been obtained.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Mortgage Indenture constitutes a mortgage lien upon substantially all of the fixed property and franchises of Evergy Metro (except property that has been, or may in the future be, released from the lien of the Mortgage Indenture, as described below), consisting principally of electric generating plants, electric transmission and distribution lines and systems, and buildings, subject to encumbrances permitted under the Mortgage Indenture. (</w:t>
      </w:r>
      <w:r>
        <w:rPr>
          <w:rFonts w:ascii="Times New Roman" w:cs="Times New Roman" w:eastAsia="Times New Roman" w:hAnsi="Times New Roman"/>
          <w:sz w:val="18"/>
          <w:szCs w:val="18"/>
          <w:i w:val="1"/>
          <w:iCs w:val="1"/>
          <w:color w:val="auto"/>
        </w:rPr>
        <w:t>Mortgage Indenture Section 1.03(ff).</w:t>
      </w:r>
      <w:r>
        <w:rPr>
          <w:rFonts w:ascii="Times New Roman" w:cs="Times New Roman" w:eastAsia="Times New Roman" w:hAnsi="Times New Roman"/>
          <w:sz w:val="18"/>
          <w:szCs w:val="18"/>
          <w:color w:val="auto"/>
        </w:rPr>
        <w:t>) The Mortgage Indenture subjects to the lien thereof property, of the character initially mortgaged, which is acquired by Evergy Metro subsequent to December 1, 1986. Such after-acquired property may be subject to prior liens which secure debt outstanding at the time of such acquisition in an amount not in excess of 75% of the cost or fair value, whichever is less, of such after-acquired property at such time. (</w:t>
      </w:r>
      <w:r>
        <w:rPr>
          <w:rFonts w:ascii="Times New Roman" w:cs="Times New Roman" w:eastAsia="Times New Roman" w:hAnsi="Times New Roman"/>
          <w:sz w:val="18"/>
          <w:szCs w:val="18"/>
          <w:i w:val="1"/>
          <w:iCs w:val="1"/>
          <w:color w:val="auto"/>
        </w:rPr>
        <w:t>Mortgage Indenture Section 1.03(ff)(xv).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property excepted from the lien of the Mortgage Indenture consists principally of: cash and securities (unless deposited with the Mortgage Trustee); accounts receivable; contracts and operating agreements not pledged or required to be pledged with the Mortgage Trustee; equipment, spare parts, tools, materials, supplies and fuel held for sale or lease in the ordinary course of business or for use or consumption in, or the operation of, any properties of, or for the benefit of, Evergy Metro, or held in advance of use thereof for maintenance or fixed capital purposes; electricity, gas, steam, water, ice and other materials, products or services for sale, distribution or use; vehicles; leasehold interests and leasehold improvements; minerals and mineral rights; nuclear fuel, cores and materials; communications equipment, computers and office furniture; and other real and personal property which is not an integral part of the electric and any steam generating, transmission and distribution operations of Evergy Metro. (</w:t>
      </w:r>
      <w:r>
        <w:rPr>
          <w:rFonts w:ascii="Times New Roman" w:cs="Times New Roman" w:eastAsia="Times New Roman" w:hAnsi="Times New Roman"/>
          <w:sz w:val="18"/>
          <w:szCs w:val="18"/>
          <w:i w:val="1"/>
          <w:iCs w:val="1"/>
          <w:color w:val="auto"/>
        </w:rPr>
        <w:t>Mortgage Indenture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1.03(s).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mortgage bonds will rank equally and ratably (except as to sinking funds and other analogous funds established for the exclusive benefit of a particular series) with all mortgage bonds, regardless of series, from time to time issued and outstanding under the Mortgage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Mortgage Indenture provides that the Mortgage Trustee shall have a lien on the mortgaged property, prior to the mortgage bonds, for the payment of its reasonable compensation and expenses and for indemnity against certain liabilities. (</w:t>
      </w:r>
      <w:r>
        <w:rPr>
          <w:rFonts w:ascii="Times New Roman" w:cs="Times New Roman" w:eastAsia="Times New Roman" w:hAnsi="Times New Roman"/>
          <w:sz w:val="18"/>
          <w:szCs w:val="18"/>
          <w:i w:val="1"/>
          <w:iCs w:val="1"/>
          <w:color w:val="auto"/>
        </w:rPr>
        <w:t>Mortgage Indenture Section 14.09.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Issuance of Additional Mortgage Bonds. The maximum principal amount of mortgage bonds which may be issued under the Mortgage Indenture is not limited. Mortgage bonds of any series may be issued from time to time in principal amounts:</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exceeding 75% of the amount of unbonded “bondable property”;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principal amount of mortgage bonds and “prior lien bonds” which have been retired or purchased or acquired by Evergy Metro since the date of the Mortgage Indenture or are then being retired or purchased or acquired by Evergy Metro, and which have not theretofore been bonded;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amount of cash deposited with the Mortgage Trustee for such purpose.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 Indenture Articles III, IV, V and VI.</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“Bondable property” includes: Evergy Metro’s electric and any steam generating, transmission and distribution properties; construction work in progress; property in the process of purchase to which Evergy Metro has legal title; fractional and undivided interests of Evergy Metro in certain property owned jointly or in common with other persons; engineering, financial, economic, environmental, geological and legal or other surveys, data processing equipment and software associated with the acquisition or construction of property; paving, grading and other improvements to property owned by others but used by Evergy Metro; and certain property owned by Evergy Metro located on property owned by others, including governments. (</w:t>
      </w:r>
      <w:r>
        <w:rPr>
          <w:rFonts w:ascii="Times New Roman" w:cs="Times New Roman" w:eastAsia="Times New Roman" w:hAnsi="Times New Roman"/>
          <w:sz w:val="18"/>
          <w:szCs w:val="18"/>
          <w:i w:val="1"/>
          <w:iCs w:val="1"/>
          <w:color w:val="auto"/>
        </w:rPr>
        <w:t>Mortgage Indenture Section 1.03(h).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“Prior lien bonds” means any indebtedness secured by liens either (i) existing both at and immediately prior to the acquisition of the property by Evergy Metro, or (ii) created as purchase money mortgages at the time Evergy Metro acquires the property, and in each case ranking prior to, or on a parity with, the lien of the Mortgage Indenture. (</w:t>
      </w:r>
      <w:r>
        <w:rPr>
          <w:rFonts w:ascii="Times New Roman" w:cs="Times New Roman" w:eastAsia="Times New Roman" w:hAnsi="Times New Roman"/>
          <w:sz w:val="18"/>
          <w:szCs w:val="18"/>
          <w:i w:val="1"/>
          <w:iCs w:val="1"/>
          <w:color w:val="auto"/>
        </w:rPr>
        <w:t>Mortgage Indenture Sections 1.03(hh) and 1.03(ii).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amount of bondable property is the lesser of its cost or fair value determined in accordance with generally accepted accounting principles in effect at December 1, 1986 or, at the option of Evergy Metro, at the date of their determination, minus 133 1/3% of the principal amount of all prior lien bonds which are (a) outstanding and secured by a prior lien on bondable property owned by Evergy Metro at December 1, 1986, and (b) outstanding and secured by a prior lien, other than due solely to an after-acquired property clause, on bondable property at the date of its acquisition by Evergy Metro after such date. (</w:t>
      </w:r>
      <w:r>
        <w:rPr>
          <w:rFonts w:ascii="Times New Roman" w:cs="Times New Roman" w:eastAsia="Times New Roman" w:hAnsi="Times New Roman"/>
          <w:sz w:val="18"/>
          <w:szCs w:val="18"/>
          <w:i w:val="1"/>
          <w:iCs w:val="1"/>
          <w:color w:val="auto"/>
        </w:rPr>
        <w:t>Mortgage Indenture Section 1.03(h).</w:t>
      </w:r>
      <w:r>
        <w:rPr>
          <w:rFonts w:ascii="Times New Roman" w:cs="Times New Roman" w:eastAsia="Times New Roman" w:hAnsi="Times New Roman"/>
          <w:sz w:val="18"/>
          <w:szCs w:val="18"/>
          <w:color w:val="auto"/>
        </w:rPr>
        <w:t>) In determining generally accepted accounting principles, Evergy Metro may conform to accounting orders from any governmental regulatory commission. (</w:t>
      </w:r>
      <w:r>
        <w:rPr>
          <w:rFonts w:ascii="Times New Roman" w:cs="Times New Roman" w:eastAsia="Times New Roman" w:hAnsi="Times New Roman"/>
          <w:sz w:val="18"/>
          <w:szCs w:val="18"/>
          <w:i w:val="1"/>
          <w:iCs w:val="1"/>
          <w:color w:val="auto"/>
        </w:rPr>
        <w:t>Mortgage Indenture Section 1.03(u).</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Certain Cash</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Cash deposited with the Mortgage Trustee as a basis for the issue of additional mortgage bonds may be withdrawn by Evergy Metro in the amount of 75% of the lesser of the cost or fair value of unbonded bondable property that is bonded, after deducting 133 1/3% of the principal amount of all prior lien bonds which are (a) outstanding and secured by a prior lien on such bondable property owned by Evergy Metro at December 1, 1986, and</w:t>
      </w:r>
    </w:p>
    <w:p>
      <w:pPr>
        <w:spacing w:after="0" w:line="1" w:lineRule="exact"/>
        <w:rPr>
          <w:sz w:val="20"/>
          <w:szCs w:val="20"/>
          <w:color w:val="auto"/>
        </w:rPr>
      </w:pPr>
    </w:p>
    <w:p>
      <w:pPr>
        <w:ind w:left="120" w:right="80" w:hanging="4"/>
        <w:spacing w:after="0" w:line="260"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and secured by a prior lien, other than due solely to an after-acquired property clause, on bondable property at the date of its acquisition by Evergy Metro after such date.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cash deposited with the Mortgage Trustee may be withdrawn by Evergy Metro in the amount of:</w:t>
      </w:r>
    </w:p>
    <w:p>
      <w:pPr>
        <w:spacing w:after="0" w:line="131" w:lineRule="exact"/>
        <w:rPr>
          <w:sz w:val="20"/>
          <w:szCs w:val="20"/>
          <w:color w:val="auto"/>
        </w:rPr>
      </w:pPr>
    </w:p>
    <w:p>
      <w:pPr>
        <w:ind w:left="1080" w:right="5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lesser of the cost or fair value of unbonded bondable property that is bonded, after deducting 133 1/3% of the principal amount of all prior lien bonds which are (a) outstanding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6" w:lineRule="auto"/>
        <w:rPr>
          <w:sz w:val="20"/>
          <w:szCs w:val="20"/>
          <w:color w:val="auto"/>
        </w:rPr>
      </w:pPr>
      <w:r>
        <w:rPr>
          <w:rFonts w:ascii="Times New Roman" w:cs="Times New Roman" w:eastAsia="Times New Roman" w:hAnsi="Times New Roman"/>
          <w:sz w:val="18"/>
          <w:szCs w:val="18"/>
          <w:color w:val="auto"/>
        </w:rPr>
        <w:t>secured by a prior lien on such bondable property owned by Evergy Metro at December 1, 1986, and (b) outstanding and secured by a prior lien, other than due solely to an after-acquired property clause, on bondable property at the date of its acquisition by Evergy Metro after such date; or</w:t>
      </w:r>
    </w:p>
    <w:p>
      <w:pPr>
        <w:spacing w:after="0" w:line="81" w:lineRule="exact"/>
        <w:rPr>
          <w:sz w:val="20"/>
          <w:szCs w:val="20"/>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mortgage bonds and prior lien bonds which have been retired or purchased or acquired by Evergy Metro since the date of the Mortgage Indenture or are then being retired or purchased or acquired by Evergy Metro, and which have not theretofore been bonded.</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 Indenture Article XI.</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Release and Substitution of Property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Mortgaged property may be released from the lien of the Mortgage Indenture:</w:t>
      </w:r>
    </w:p>
    <w:p>
      <w:pPr>
        <w:spacing w:after="0" w:line="131" w:lineRule="exact"/>
        <w:rPr>
          <w:sz w:val="20"/>
          <w:szCs w:val="20"/>
          <w:color w:val="auto"/>
        </w:rPr>
      </w:pPr>
    </w:p>
    <w:p>
      <w:pPr>
        <w:ind w:left="1080" w:right="5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such release the fair value of the remaining mortgaged property equals or exceeds a sum equal to 133 1/3% of the aggregate principal amount of outstanding mortgage bonds and prior lien bonds outstanding;</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some limitations, the fair value of the mortgaged property to be released is less than 1/2 of 1% of the aggregate principal amount of mortgage bonds and prior lien bonds outstanding, provided that the aggregate fair value of mortgaged property released in this manner in any period of 12 consecutive calendar months shall not exceed 1% of the aggregate principal amount of the outstanding mortgage bonds and prior lien bonds outstanding; or</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(a) the deposit of cash, governmental obligations or purchase money obligations, (b) bondable property to be acquired by Evergy Metro with the proceeds of, or otherwise in connection with, such release, or (c) a waiver of the right to issue mortgage bonds on the basis of mortgage bonds or prior lien bonds which have been retired or purchased or acquired by Evergy Metro after December 1, 1986, and have not theretofore been bonded.</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 Indenture Article X.</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Mortgage Indenture provides generally that a default occurs upon:</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for 90 days to pay interest when due on any mortgage bonds;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and premium, if any, on any mortgage bonds issued under the Mortgage Indenture or the principal of, or premium, if any, or interest on, any outstanding prior lien bonds, beyond any specified grace period;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observe for 90 days after notice of such failure any other of the covenants or conditions of Evergy Metro in the Mortgage Indenture, any applicable supplemental indenture, or any of the mortgage bonds issued under the Mortgage Indenture or any applicable supplemental indenture;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insolvency, bankruptcy, receivership or similar events.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case of default, the Mortgage Trustee or the holders of a majority in principal amount of the outstanding mortgage bonds may declare the principal of and interest on all mortgage bonds to be immediately due and payable, but the holders of a majority in principal amount of the outstanding mortgage bonds may rescind such declaration if such default has been cured. (</w:t>
      </w:r>
      <w:r>
        <w:rPr>
          <w:rFonts w:ascii="Times New Roman" w:cs="Times New Roman" w:eastAsia="Times New Roman" w:hAnsi="Times New Roman"/>
          <w:sz w:val="18"/>
          <w:szCs w:val="18"/>
          <w:i w:val="1"/>
          <w:iCs w:val="1"/>
          <w:color w:val="auto"/>
        </w:rPr>
        <w:t>Mortgage Indenture Sections 12.02 and 12.04.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Evergy Metro is required to file with the Mortgage Trustee such information, documents and reports with respect to compliance by Evergy Metro with the conditions and covenants of the Mortgage Indenture as may be required by the rules and regulations of the SEC. (</w:t>
      </w:r>
      <w:r>
        <w:rPr>
          <w:rFonts w:ascii="Times New Roman" w:cs="Times New Roman" w:eastAsia="Times New Roman" w:hAnsi="Times New Roman"/>
          <w:sz w:val="18"/>
          <w:szCs w:val="18"/>
          <w:i w:val="1"/>
          <w:iCs w:val="1"/>
          <w:color w:val="auto"/>
        </w:rPr>
        <w:t>Mortgage Indenture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17.02.</w:t>
      </w:r>
      <w:r>
        <w:rPr>
          <w:rFonts w:ascii="Times New Roman" w:cs="Times New Roman" w:eastAsia="Times New Roman" w:hAnsi="Times New Roman"/>
          <w:sz w:val="18"/>
          <w:szCs w:val="18"/>
          <w:color w:val="auto"/>
        </w:rPr>
        <w:t>) Evergy Metro is not required to furnish any statement as to the absence of any default.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Mortgage Indenture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modifications or alterations of the Mortgage Indenture and any applicable supplemental indenture and of the rights or obligations of Evergy Metro and of the bondholders, as well as waivers of compliance with the Mortgage Indenture (including any applicable supplemental indenture) may be made, with the consent of the holders of a majority in principal amount of the outstanding mortgage bonds affected by the proposed action, if approved by Evergy Metro. Provisions relating to such modifications or alterations and waivers of compliance are subject to certain restrictions designed to safeguard the positions of the bondholders and the Mortgage Trustee with respect to certain matters of basic importance, including payment of principal of and interest and premium (if any) on mortgage bonds and creation of liens ranking prior to or on a parity with the lien of the Mortgage Indenture as to any mortgaged property. (</w:t>
      </w:r>
      <w:r>
        <w:rPr>
          <w:rFonts w:ascii="Times New Roman" w:cs="Times New Roman" w:eastAsia="Times New Roman" w:hAnsi="Times New Roman"/>
          <w:sz w:val="18"/>
          <w:szCs w:val="18"/>
          <w:i w:val="1"/>
          <w:iCs w:val="1"/>
          <w:color w:val="auto"/>
        </w:rPr>
        <w:t>Mortgage Indenture Section 12.24 and Article XV.</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Mortgage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our affiliates maintain corporate trust and other banking relationships with UMB Bank, N.A. and its affiliates.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OOK</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NTRY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YSTEM</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notes or general mortgage bonds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w:t>
      </w:r>
    </w:p>
    <w:p>
      <w:pPr>
        <w:spacing w:after="0" w:line="18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any such case, we have agreed to notify the applicable trustee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based solely on information furnished by DTC:</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global securities are redeemable, redemption notices shall be sent to DTC. If less than all of the global securities are being redeemed, DTC’s practice is to determine by lot the amount of the interest of each direct participant in such issue to be redeemed.</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Principal, interest and premium payments, if any, on the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 owners will be governed by standing instructions and customary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any of the aforementioned securities represented by global securities to Cede &amp; Co. (or such other nominee as may be requested by an authorized representative of DTC) is the responsibility of the appropriate trustee and us. Disbursement of such payments to direct participants shall be the responsibility of DTC, and disbursement of such payments to the beneficial owners shall be the responsibility of the participants.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global securities at any time by giving reasonable notice to us or the applicable trustee.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including DTC, that we believe to be reliable, but we take no responsibility for the accuracy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dealers or agents of any of the securities may be direct participants of DTC.</w:t>
      </w:r>
    </w:p>
    <w:p>
      <w:pPr>
        <w:spacing w:after="0" w:line="2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trustees, us or any agent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ISTRIBUTION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Legal matters with respect to the securities offered under this prospectus will be passed upon for us by Christie Dasek-Kaine, Senior Director, Counsel and Assistant Corporate Secretary of Evergy Metro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Evergy Metro,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through the SEC’s Electronic Data Gathering, Analysis and Retrieval system and these filings are publically available through the SEC’s website (http://www.sec.gov).</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w:t>
      </w:r>
    </w:p>
    <w:p>
      <w:pPr>
        <w:spacing w:after="0" w:line="8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as filed with the SEC on February 29, 2024;</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August 9, 2024</w:t>
        </w:r>
      </w:hyperlink>
      <w:hyperlink r:id="rId56">
        <w:r>
          <w:rPr>
            <w:rFonts w:ascii="Times New Roman" w:cs="Times New Roman" w:eastAsia="Times New Roman" w:hAnsi="Times New Roman"/>
            <w:sz w:val="18"/>
            <w:szCs w:val="18"/>
            <w:color w:val="000000"/>
          </w:rPr>
          <w:t>, respectively;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77">
        <w:r>
          <w:rPr>
            <w:rFonts w:ascii="Times New Roman" w:cs="Times New Roman" w:eastAsia="Times New Roman" w:hAnsi="Times New Roman"/>
            <w:sz w:val="18"/>
            <w:szCs w:val="18"/>
            <w:u w:val="single" w:color="auto"/>
            <w:color w:val="0000EE"/>
          </w:rPr>
          <w:t>April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8">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All documents Evergy Metro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Metro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our parent company, Evergy and another wholly-owned subsidiary of Evergy, Evergy Kansas Central, separately file combined reports under the Exchange Act. However, the information contained in the combined reports relating solely to our parent and its subsidiaries (other than Evergy Metro and its consolidated subsidiaries), including Evergy Missouri West, Inc., was separately filed by Evergy, Inc. on its behalf, the information contained in the combined reports relating solely to Evergy Kansas Central and its subsidiaries was separately filed by Evergy Kansas Central on its behalf and the information contained in the combined report relating solely to Evergy Metro and its consolidated subsidiaries was separately filed by us. We do not intend to incorporate by reference into this prospectus the information relating to Evergy and its subsidiaries (other than Evergy Metro and its consolidated subsidiaries or the information provided separately by Evergy Metro or its consolidated subsidiaries), and we make no representation as to the information relating to Evergy and its subsidiaries (other than Evergy Metro and its consolidated subsidiaries) contained in such combined reports. The only information you should rely upon in determining whether to invest in the securities offered hereby is the information of Evergy Metro and its consolidated subsidiaries contained in this prospectus and any prospectus supplement, the information separately provided by Evergy Metro and its consolidated subsidiaries in the documents incorporated by reference herein and therein and any free writing prospectus used in connection with the offering of securities described in this prospectus.</w:t>
      </w:r>
    </w:p>
    <w:p>
      <w:pPr>
        <w:spacing w:after="0" w:line="12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Metro, Inc., 1200 Main Street, Kansas City, Missouri 64105 (Telephone No.: 816-556-2200), Attention: Corporate Secretary, or by contacting us on our parent company’s website.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241300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36"/>
          <w:szCs w:val="36"/>
          <w:b w:val="1"/>
          <w:bCs w:val="1"/>
          <w:color w:val="auto"/>
        </w:rPr>
        <w:t>Evergy Metro,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3691890</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3751580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Roman"/>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14" Type="http://schemas.openxmlformats.org/officeDocument/2006/relationships/hyperlink" Target="http://www.sec.gov/ix?doc=/Archives/edgar/data/54476/000171126925000004/evrg-20241231.htm" TargetMode="External"/><Relationship Id="rId15" Type="http://schemas.openxmlformats.org/officeDocument/2006/relationships/hyperlink" Target="http://www.sec.gov/ix?doc=/Archives/edgar/data/54476/000171126925000010/evrg-20250331.htm" TargetMode="External"/><Relationship Id="rId16" Type="http://schemas.openxmlformats.org/officeDocument/2006/relationships/hyperlink" Target="http://www.sec.gov/ix?doc=/Archives/edgar/data/54476/000171126925000022/evrg-20250630.htm" TargetMode="External"/><Relationship Id="rId17" Type="http://schemas.openxmlformats.org/officeDocument/2006/relationships/hyperlink" Target="http://www.sec.gov/ix?doc=/Archives/edgar/data/54476/000119312525064798/d936056d8k.htm" TargetMode="External"/><Relationship Id="rId55" Type="http://schemas.openxmlformats.org/officeDocument/2006/relationships/hyperlink" Target="http://www.sec.gov/ix?doc=/Archives/edgar/data/54476/000171126924000007/evrg-20231231.htm" TargetMode="External"/><Relationship Id="rId56" Type="http://schemas.openxmlformats.org/officeDocument/2006/relationships/hyperlink" Target="http://www.sec.gov/ix?doc=/Archives/edgar/data/54476/000171126924000013/evrg-20240331.htm" TargetMode="External"/><Relationship Id="rId57" Type="http://schemas.openxmlformats.org/officeDocument/2006/relationships/hyperlink" Target="http://www.sec.gov/ix?doc=/Archives/edgar/data/54476/000171126924000027/evrg-20240630.htm" TargetMode="External"/><Relationship Id="rId77" Type="http://schemas.openxmlformats.org/officeDocument/2006/relationships/hyperlink" Target="http://www.sec.gov/ix?doc=/Archives/edgar/data/54476/000119312524088500/d780883d8k.htm" TargetMode="External"/><Relationship Id="rId78" Type="http://schemas.openxmlformats.org/officeDocument/2006/relationships/hyperlink" Target="http://www.sec.gov/ix?doc=/Archives/edgar/data/54476/000119312524157846/d81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2025-08-11T07:56:26Z</dcterms:created>
  <dcterms:modified xsi:type="dcterms:W3CDTF">2025-08-11T07:56:26Z</dcterms:modified>
</cp:coreProperties>
</file>