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5"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23"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Registration No. 333-281614-02</w:t>
      </w:r>
    </w:p>
    <w:p>
      <w:pPr>
        <w:spacing w:after="0" w:line="104"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3"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color w:val="auto"/>
        </w:rPr>
        <w:t>(To prospectus dated August 16, 2024)</w:t>
      </w:r>
    </w:p>
    <w:p>
      <w:pPr>
        <w:spacing w:after="0" w:line="5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3"/>
          <w:szCs w:val="33"/>
          <w:b w:val="1"/>
          <w:bCs w:val="1"/>
          <w:color w:val="auto"/>
        </w:rPr>
        <w:t>Evergy Kansas Central, Inc.</w:t>
      </w:r>
    </w:p>
    <w:p>
      <w:pPr>
        <w:spacing w:after="0" w:line="10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9"/>
          <w:szCs w:val="19"/>
          <w:b w:val="1"/>
          <w:bCs w:val="1"/>
          <w:color w:val="auto"/>
        </w:rPr>
        <w:t>$300,000,000 First Mortgage Bonds, 5.25% Series due 2035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140335</wp:posOffset>
            </wp:positionV>
            <wp:extent cx="113855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80" w:lineRule="exact"/>
        <w:rPr>
          <w:sz w:val="24"/>
          <w:szCs w:val="24"/>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Evergy Kansas Central, Inc. is offering $300,000,000 aggregate principal amount of First Mortgage Bonds, 5.25% Series due 2035 (the “bonds”). The bonds will constitute an additional issuance of our First Mortgage Bonds, 5.25% Series due 2035 issued on March 13, 2025 in an aggregate principal amount of $300,000,000 (the “existing bonds”), which were offered by a prospectus supplement dated March 6, 2025, and will form a single series with the existing bonds. The bonds will have terms identical to the existing bonds, other than the date of issuance, the first interest accrual date, the first interest payment date and the initial price to the public, will have the same CUSIP number and will trade interchangeably with the existing bonds immediately upon settlement. Upon the issuance of the bonds, the aggregate principal amount of outstanding bonds of this series (including the existing bonds) will be $600,000,000.</w:t>
      </w:r>
    </w:p>
    <w:p>
      <w:pPr>
        <w:spacing w:after="0" w:line="63" w:lineRule="exact"/>
        <w:rPr>
          <w:sz w:val="24"/>
          <w:szCs w:val="24"/>
          <w:color w:val="auto"/>
        </w:rPr>
      </w:pPr>
    </w:p>
    <w:p>
      <w:pPr>
        <w:ind w:left="1400" w:right="359" w:firstLine="340"/>
        <w:spacing w:after="0" w:line="256" w:lineRule="auto"/>
        <w:rPr>
          <w:sz w:val="20"/>
          <w:szCs w:val="20"/>
          <w:color w:val="auto"/>
        </w:rPr>
      </w:pPr>
      <w:r>
        <w:rPr>
          <w:rFonts w:ascii="Times New Roman" w:cs="Times New Roman" w:eastAsia="Times New Roman" w:hAnsi="Times New Roman"/>
          <w:sz w:val="14"/>
          <w:szCs w:val="14"/>
          <w:color w:val="auto"/>
        </w:rPr>
        <w:t>The bonds will bear interest at a rate of 5.25% per year and will mature on March 15, 2035. Interest on the bonds will accrue from September 15, 2025 (which is the most recent date to which interest has been paid on the existing bonds), which we refer to as “pre-issuance accrued interest” herein. We will pay interest on the bonds semi-annually in arrears on March 15 and September 15 of each year, beginning on March 15, 2026. We may redeem the bonds at our option, in whole or in part, at any time and from time to time, at the applicable redemption price specified in this prospectus supplement.</w:t>
      </w:r>
    </w:p>
    <w:p>
      <w:pPr>
        <w:spacing w:after="0" w:line="59" w:lineRule="exact"/>
        <w:rPr>
          <w:sz w:val="24"/>
          <w:szCs w:val="24"/>
          <w:color w:val="auto"/>
        </w:rPr>
      </w:pPr>
    </w:p>
    <w:p>
      <w:pPr>
        <w:ind w:left="1400" w:right="319" w:firstLine="340"/>
        <w:spacing w:after="0" w:line="293" w:lineRule="auto"/>
        <w:rPr>
          <w:sz w:val="20"/>
          <w:szCs w:val="20"/>
          <w:color w:val="auto"/>
        </w:rPr>
      </w:pPr>
      <w:r>
        <w:rPr>
          <w:rFonts w:ascii="Times New Roman" w:cs="Times New Roman" w:eastAsia="Times New Roman" w:hAnsi="Times New Roman"/>
          <w:sz w:val="13"/>
          <w:szCs w:val="13"/>
          <w:color w:val="auto"/>
        </w:rPr>
        <w:t>The bonds will be our secured obligations, equal in right of payment to all other debt currently outstanding or hereafter issued under the mortgage (as defined herein). The mortgage prohibits us from incurring other debt senior or equal to the bonds offered hereby unless certain tests are met. The bonds will be structurally subordinated to the debt of our subsidiaries. See “Description of the Bonds—Ranking” in this prospectus supplement.</w:t>
      </w:r>
    </w:p>
    <w:p>
      <w:pPr>
        <w:spacing w:after="0" w:line="36" w:lineRule="exact"/>
        <w:rPr>
          <w:sz w:val="24"/>
          <w:szCs w:val="24"/>
          <w:color w:val="auto"/>
        </w:rPr>
      </w:pPr>
    </w:p>
    <w:p>
      <w:pPr>
        <w:ind w:left="1400" w:right="739" w:firstLine="340"/>
        <w:spacing w:after="0" w:line="279" w:lineRule="auto"/>
        <w:rPr>
          <w:sz w:val="20"/>
          <w:szCs w:val="20"/>
          <w:color w:val="auto"/>
        </w:rPr>
      </w:pPr>
      <w:r>
        <w:rPr>
          <w:rFonts w:ascii="Times New Roman" w:cs="Times New Roman" w:eastAsia="Times New Roman" w:hAnsi="Times New Roman"/>
          <w:sz w:val="14"/>
          <w:szCs w:val="14"/>
          <w:color w:val="auto"/>
        </w:rPr>
        <w:t>The bonds will not be listed on any securities exchange or included in any automated dealer quotation system. The bonds will be issued in minimum denominations of $2,000 and in integral multiples of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95885</wp:posOffset>
            </wp:positionV>
            <wp:extent cx="11385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4"/>
          <w:szCs w:val="24"/>
          <w:color w:val="auto"/>
        </w:rPr>
      </w:pPr>
    </w:p>
    <w:p>
      <w:pPr>
        <w:ind w:left="1400" w:right="839" w:firstLine="340"/>
        <w:spacing w:after="0" w:line="261" w:lineRule="auto"/>
        <w:rPr>
          <w:sz w:val="20"/>
          <w:szCs w:val="20"/>
          <w:color w:val="auto"/>
        </w:rPr>
      </w:pPr>
      <w:r>
        <w:rPr>
          <w:rFonts w:ascii="Times New Roman" w:cs="Times New Roman" w:eastAsia="Times New Roman" w:hAnsi="Times New Roman"/>
          <w:sz w:val="17"/>
          <w:szCs w:val="17"/>
          <w:b w:val="1"/>
          <w:bCs w:val="1"/>
          <w:color w:val="auto"/>
        </w:rPr>
        <w:t>Investing in the bonds involves risks that are described in the sections entitled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S-11 of this prospectus supplement and page 5 of the accompanying prospectus.</w:t>
      </w:r>
    </w:p>
    <w:p>
      <w:pPr>
        <w:spacing w:after="0" w:line="38" w:lineRule="exact"/>
        <w:rPr>
          <w:sz w:val="24"/>
          <w:szCs w:val="24"/>
          <w:color w:val="auto"/>
        </w:rPr>
      </w:pPr>
    </w:p>
    <w:tbl>
      <w:tblPr>
        <w:tblLayout w:type="fixed"/>
        <w:tblInd w:w="208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Proceeds to</w:t>
            </w:r>
          </w:p>
        </w:tc>
        <w:tc>
          <w:tcPr>
            <w:tcW w:w="0" w:type="dxa"/>
            <w:vAlign w:val="bottom"/>
          </w:tcPr>
          <w:p>
            <w:pPr>
              <w:spacing w:after="0"/>
              <w:rPr>
                <w:sz w:val="1"/>
                <w:szCs w:val="1"/>
                <w:color w:val="auto"/>
              </w:rPr>
            </w:pPr>
          </w:p>
        </w:tc>
      </w:tr>
      <w:tr>
        <w:trPr>
          <w:trHeight w:val="115"/>
        </w:trPr>
        <w:tc>
          <w:tcPr>
            <w:tcW w:w="1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Price to the</w:t>
            </w:r>
          </w:p>
        </w:tc>
        <w:tc>
          <w:tcPr>
            <w:tcW w:w="13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Underwriting</w:t>
            </w:r>
          </w:p>
        </w:tc>
        <w:tc>
          <w:tcPr>
            <w:tcW w:w="1780" w:type="dxa"/>
            <w:vAlign w:val="bottom"/>
            <w:gridSpan w:val="4"/>
          </w:tcPr>
          <w:p>
            <w:pPr>
              <w:jc w:val="center"/>
              <w:ind w:left="57"/>
              <w:spacing w:after="0" w:line="115" w:lineRule="exact"/>
              <w:rPr>
                <w:sz w:val="20"/>
                <w:szCs w:val="20"/>
                <w:color w:val="auto"/>
              </w:rPr>
            </w:pPr>
            <w:r>
              <w:rPr>
                <w:rFonts w:ascii="Times New Roman" w:cs="Times New Roman" w:eastAsia="Times New Roman" w:hAnsi="Times New Roman"/>
                <w:sz w:val="11"/>
                <w:szCs w:val="11"/>
                <w:b w:val="1"/>
                <w:bCs w:val="1"/>
                <w:color w:val="auto"/>
              </w:rPr>
              <w:t>Evergy Kansas Central, Inc.</w:t>
            </w:r>
          </w:p>
        </w:tc>
        <w:tc>
          <w:tcPr>
            <w:tcW w:w="0" w:type="dxa"/>
            <w:vAlign w:val="bottom"/>
          </w:tcPr>
          <w:p>
            <w:pPr>
              <w:spacing w:after="0"/>
              <w:rPr>
                <w:sz w:val="1"/>
                <w:szCs w:val="1"/>
                <w:color w:val="auto"/>
              </w:rPr>
            </w:pPr>
          </w:p>
        </w:tc>
      </w:tr>
      <w:tr>
        <w:trPr>
          <w:trHeight w:val="115"/>
        </w:trPr>
        <w:tc>
          <w:tcPr>
            <w:tcW w:w="1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Before</w:t>
            </w:r>
          </w:p>
        </w:tc>
        <w:tc>
          <w:tcPr>
            <w:tcW w:w="0" w:type="dxa"/>
            <w:vAlign w:val="bottom"/>
          </w:tcPr>
          <w:p>
            <w:pPr>
              <w:spacing w:after="0"/>
              <w:rPr>
                <w:sz w:val="1"/>
                <w:szCs w:val="1"/>
                <w:color w:val="auto"/>
              </w:rPr>
            </w:pPr>
          </w:p>
        </w:tc>
      </w:tr>
      <w:tr>
        <w:trPr>
          <w:trHeight w:val="134"/>
        </w:trPr>
        <w:tc>
          <w:tcPr>
            <w:tcW w:w="1680" w:type="dxa"/>
            <w:vAlign w:val="bottom"/>
            <w:tcBorders>
              <w:bottom w:val="single" w:sz="8" w:color="CCEEFF"/>
            </w:tcBorders>
          </w:tcPr>
          <w:p>
            <w:pPr>
              <w:spacing w:after="0"/>
              <w:rPr>
                <w:sz w:val="11"/>
                <w:szCs w:val="11"/>
                <w:color w:val="auto"/>
              </w:rPr>
            </w:pPr>
          </w:p>
        </w:tc>
        <w:tc>
          <w:tcPr>
            <w:tcW w:w="1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Public(1)</w:t>
            </w:r>
          </w:p>
        </w:tc>
        <w:tc>
          <w:tcPr>
            <w:tcW w:w="4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4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Per bond</w:t>
            </w:r>
          </w:p>
        </w:tc>
        <w:tc>
          <w:tcPr>
            <w:tcW w:w="1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80"/>
              <w:spacing w:after="0" w:line="157" w:lineRule="exact"/>
              <w:rPr>
                <w:sz w:val="20"/>
                <w:szCs w:val="20"/>
                <w:color w:val="auto"/>
              </w:rPr>
            </w:pPr>
            <w:r>
              <w:rPr>
                <w:rFonts w:ascii="Times New Roman" w:cs="Times New Roman" w:eastAsia="Times New Roman" w:hAnsi="Times New Roman"/>
                <w:sz w:val="14"/>
                <w:szCs w:val="14"/>
                <w:color w:val="auto"/>
              </w:rPr>
              <w:t>101.825%</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line="157" w:lineRule="exact"/>
              <w:rPr>
                <w:sz w:val="20"/>
                <w:szCs w:val="20"/>
                <w:color w:val="auto"/>
              </w:rPr>
            </w:pPr>
            <w:r>
              <w:rPr>
                <w:rFonts w:ascii="Times New Roman" w:cs="Times New Roman" w:eastAsia="Times New Roman" w:hAnsi="Times New Roman"/>
                <w:sz w:val="14"/>
                <w:szCs w:val="14"/>
                <w:color w:val="auto"/>
              </w:rPr>
              <w:t>0.650%</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rPr>
              <w:t>101.175%</w:t>
            </w:r>
          </w:p>
        </w:tc>
        <w:tc>
          <w:tcPr>
            <w:tcW w:w="0" w:type="dxa"/>
            <w:vAlign w:val="bottom"/>
          </w:tcPr>
          <w:p>
            <w:pPr>
              <w:spacing w:after="0"/>
              <w:rPr>
                <w:sz w:val="1"/>
                <w:szCs w:val="1"/>
                <w:color w:val="auto"/>
              </w:rPr>
            </w:pPr>
          </w:p>
        </w:tc>
      </w:tr>
      <w:tr>
        <w:trPr>
          <w:trHeight w:val="182"/>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$305,475,000</w:t>
            </w:r>
          </w:p>
        </w:tc>
        <w:tc>
          <w:tcPr>
            <w:tcW w:w="4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$ 1,950,000</w:t>
            </w:r>
          </w:p>
        </w:tc>
        <w:tc>
          <w:tcPr>
            <w:tcW w:w="4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303,525,000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882650</wp:posOffset>
            </wp:positionH>
            <wp:positionV relativeFrom="paragraph">
              <wp:posOffset>63500</wp:posOffset>
            </wp:positionV>
            <wp:extent cx="5956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5630" cy="6350"/>
                    </a:xfrm>
                    <a:prstGeom prst="rect">
                      <a:avLst/>
                    </a:prstGeom>
                    <a:noFill/>
                  </pic:spPr>
                </pic:pic>
              </a:graphicData>
            </a:graphic>
          </wp:anchor>
        </w:drawing>
      </w:r>
    </w:p>
    <w:p>
      <w:pPr>
        <w:spacing w:after="0" w:line="96" w:lineRule="exact"/>
        <w:rPr>
          <w:sz w:val="24"/>
          <w:szCs w:val="24"/>
          <w:color w:val="auto"/>
        </w:rPr>
      </w:pPr>
    </w:p>
    <w:p>
      <w:pPr>
        <w:ind w:left="1720" w:right="379" w:hanging="330"/>
        <w:spacing w:after="0" w:line="264"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pre-issuance accrued interest from September 15, 2025 (which is the most recent date to which interest has been paid on the existing bonds) to, but excluding, the settlement date, which must be paid by the purchasers of the bonds offered hereby. The total amount of such interest on December 5, 2025 will be $3,500,000.</w:t>
      </w:r>
    </w:p>
    <w:p>
      <w:pPr>
        <w:spacing w:after="0" w:line="51" w:lineRule="exact"/>
        <w:rPr>
          <w:sz w:val="24"/>
          <w:szCs w:val="24"/>
          <w:color w:val="auto"/>
        </w:rPr>
      </w:pPr>
    </w:p>
    <w:p>
      <w:pPr>
        <w:ind w:left="1400" w:right="379" w:firstLine="340"/>
        <w:spacing w:after="0" w:line="265"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53" w:lineRule="exact"/>
        <w:rPr>
          <w:sz w:val="24"/>
          <w:szCs w:val="24"/>
          <w:color w:val="auto"/>
        </w:rPr>
      </w:pPr>
    </w:p>
    <w:p>
      <w:pPr>
        <w:jc w:val="both"/>
        <w:ind w:left="1400" w:right="619" w:firstLine="340"/>
        <w:spacing w:after="0" w:line="319" w:lineRule="auto"/>
        <w:rPr>
          <w:sz w:val="20"/>
          <w:szCs w:val="20"/>
          <w:color w:val="auto"/>
        </w:rPr>
      </w:pPr>
      <w:r>
        <w:rPr>
          <w:rFonts w:ascii="Times New Roman" w:cs="Times New Roman" w:eastAsia="Times New Roman" w:hAnsi="Times New Roman"/>
          <w:sz w:val="13"/>
          <w:szCs w:val="13"/>
          <w:color w:val="auto"/>
        </w:rPr>
        <w:t>The bonds will be ready for delivery in book-entry form only through the facilities of The Depository Trust Company for the accounts of its participants, including Clearstream Banking S.A. and Euroclear Bank SA/NV, as operator of the Euroclear System, on or about December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88265</wp:posOffset>
            </wp:positionV>
            <wp:extent cx="11385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8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p>
      <w:pPr>
        <w:sectPr>
          <w:pgSz w:w="11900" w:h="16838" w:orient="portrait"/>
          <w:cols w:equalWidth="0" w:num="1">
            <w:col w:w="10159"/>
          </w:cols>
          <w:pgMar w:left="300" w:top="206" w:right="1440" w:bottom="1440" w:gutter="0" w:footer="0" w:header="0"/>
        </w:sectPr>
      </w:pPr>
    </w:p>
    <w:p>
      <w:pPr>
        <w:spacing w:after="0" w:line="94"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3"/>
          <w:szCs w:val="13"/>
          <w:b w:val="1"/>
          <w:bCs w:val="1"/>
          <w:color w:val="auto"/>
        </w:rPr>
        <w:t>BNY Capital Markets</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Regions Securities LLC</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TD Securities</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Wells Fargo Securities</w:t>
      </w:r>
    </w:p>
    <w:p>
      <w:pPr>
        <w:spacing w:after="0" w:line="92" w:lineRule="exact"/>
        <w:rPr>
          <w:sz w:val="24"/>
          <w:szCs w:val="24"/>
          <w:color w:val="auto"/>
        </w:rPr>
      </w:pPr>
    </w:p>
    <w:p>
      <w:pPr>
        <w:sectPr>
          <w:pgSz w:w="11900" w:h="16838" w:orient="portrait"/>
          <w:cols w:equalWidth="0" w:num="4">
            <w:col w:w="3940" w:space="720"/>
            <w:col w:w="1420" w:space="680"/>
            <w:col w:w="1020" w:space="720"/>
            <w:col w:w="1659"/>
          </w:cols>
          <w:pgMar w:left="300" w:top="206" w:right="1440" w:bottom="1440" w:gutter="0" w:footer="0" w:header="0"/>
          <w:type w:val="continuous"/>
        </w:sectPr>
      </w:pPr>
    </w:p>
    <w:p>
      <w:pPr>
        <w:ind w:left="5180"/>
        <w:spacing w:after="0"/>
        <w:rPr>
          <w:sz w:val="20"/>
          <w:szCs w:val="20"/>
          <w:color w:val="auto"/>
        </w:rPr>
      </w:pPr>
      <w:r>
        <w:rPr>
          <w:rFonts w:ascii="Times New Roman" w:cs="Times New Roman" w:eastAsia="Times New Roman" w:hAnsi="Times New Roman"/>
          <w:sz w:val="16"/>
          <w:szCs w:val="16"/>
          <w:i w:val="1"/>
          <w:iCs w:val="1"/>
          <w:color w:val="auto"/>
        </w:rPr>
        <w:t>Co-Managers</w:t>
      </w:r>
    </w:p>
    <w:p>
      <w:pPr>
        <w:sectPr>
          <w:pgSz w:w="11900" w:h="16838" w:orient="portrait"/>
          <w:cols w:equalWidth="0" w:num="1">
            <w:col w:w="10159"/>
          </w:cols>
          <w:pgMar w:left="300" w:top="206" w:right="1440" w:bottom="1440" w:gutter="0" w:footer="0" w:header="0"/>
          <w:type w:val="continuous"/>
        </w:sectPr>
      </w:pPr>
    </w:p>
    <w:p>
      <w:pPr>
        <w:spacing w:after="0" w:line="186"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0"/>
          <w:szCs w:val="10"/>
          <w:b w:val="1"/>
          <w:bCs w:val="1"/>
          <w:color w:val="auto"/>
        </w:rPr>
        <w:t>Academy Securities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Ramirez &amp;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-2661920</wp:posOffset>
            </wp:positionH>
            <wp:positionV relativeFrom="paragraph">
              <wp:posOffset>117475</wp:posOffset>
            </wp:positionV>
            <wp:extent cx="11385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220" w:space="720"/>
            <w:col w:w="1219"/>
          </w:cols>
          <w:pgMar w:left="300" w:top="206" w:right="1440" w:bottom="1440" w:gutter="0" w:footer="0" w:header="0"/>
          <w:type w:val="continuous"/>
        </w:sectPr>
      </w:pPr>
    </w:p>
    <w:p>
      <w:pPr>
        <w:spacing w:after="0" w:line="6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3"/>
          <w:szCs w:val="13"/>
          <w:color w:val="auto"/>
        </w:rPr>
        <w:t>Prospectus Supplement dated December 1, 2025.</w:t>
      </w:r>
    </w:p>
    <w:p>
      <w:pPr>
        <w:sectPr>
          <w:pgSz w:w="11900" w:h="16838" w:orient="portrait"/>
          <w:cols w:equalWidth="0" w:num="1">
            <w:col w:w="10159"/>
          </w:cols>
          <w:pgMar w:left="300" w:top="206"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91"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814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6"/>
        </w:trPr>
        <w:tc>
          <w:tcPr>
            <w:tcW w:w="8140" w:type="dxa"/>
            <w:vAlign w:val="bottom"/>
            <w:gridSpan w:val="18"/>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S-1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CAUTIONARY STATEMENTS REGARDING CERTAIN FORWARD-LOOKING INFORMATION</w:t>
            </w:r>
          </w:p>
        </w:tc>
        <w:tc>
          <w:tcPr>
            <w:tcW w:w="8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230"/>
        </w:trPr>
        <w:tc>
          <w:tcPr>
            <w:tcW w:w="29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2720" w:type="dxa"/>
            <w:vAlign w:val="bottom"/>
            <w:tcBorders>
              <w:top w:val="single" w:sz="8" w:color="0000EE"/>
            </w:tcBorders>
            <w:gridSpan w:val="2"/>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8"/>
              </w:rPr>
              <w:t>PROSPECTUS SUPPLEMENT SUMMARY</w:t>
            </w:r>
          </w:p>
        </w:tc>
        <w:tc>
          <w:tcPr>
            <w:tcW w:w="5600" w:type="dxa"/>
            <w:vAlign w:val="bottom"/>
            <w:gridSpan w:val="7"/>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230"/>
        </w:trPr>
        <w:tc>
          <w:tcPr>
            <w:tcW w:w="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RISK FACTORS</w:t>
            </w:r>
          </w:p>
        </w:tc>
        <w:tc>
          <w:tcPr>
            <w:tcW w:w="7180" w:type="dxa"/>
            <w:vAlign w:val="bottom"/>
            <w:gridSpan w:val="16"/>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USE OF PROCEEDS</w:t>
            </w:r>
          </w:p>
        </w:tc>
        <w:tc>
          <w:tcPr>
            <w:tcW w:w="6920" w:type="dxa"/>
            <w:vAlign w:val="bottom"/>
            <w:gridSpan w:val="14"/>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S-13</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DESCRIPTION OF THE BONDS</w:t>
            </w:r>
          </w:p>
        </w:tc>
        <w:tc>
          <w:tcPr>
            <w:tcW w:w="6220" w:type="dxa"/>
            <w:vAlign w:val="bottom"/>
            <w:gridSpan w:val="10"/>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w w:val="97"/>
              </w:rPr>
              <w:t>MATERIAL U.S. FEDERAL INCOME TAX CONSIDERATIONS</w:t>
            </w:r>
          </w:p>
        </w:tc>
        <w:tc>
          <w:tcPr>
            <w:tcW w:w="4380" w:type="dxa"/>
            <w:vAlign w:val="bottom"/>
            <w:gridSpan w:val="2"/>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w w:val="98"/>
              </w:rPr>
              <w:t>UNDERWRITING (CONFLICTS OF INTEREST)</w:t>
            </w:r>
          </w:p>
        </w:tc>
        <w:tc>
          <w:tcPr>
            <w:tcW w:w="5280" w:type="dxa"/>
            <w:vAlign w:val="bottom"/>
            <w:gridSpan w:val="4"/>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S-27</w:t>
            </w:r>
          </w:p>
        </w:tc>
        <w:tc>
          <w:tcPr>
            <w:tcW w:w="0" w:type="dxa"/>
            <w:vAlign w:val="bottom"/>
          </w:tcPr>
          <w:p>
            <w:pPr>
              <w:spacing w:after="0"/>
              <w:rPr>
                <w:sz w:val="1"/>
                <w:szCs w:val="1"/>
                <w:color w:val="auto"/>
              </w:rPr>
            </w:pPr>
          </w:p>
        </w:tc>
      </w:tr>
      <w:tr>
        <w:trPr>
          <w:trHeight w:val="230"/>
        </w:trPr>
        <w:tc>
          <w:tcPr>
            <w:tcW w:w="11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5"/>
              </w:rPr>
              <w:t>LEGAL MATTERS</w:t>
            </w:r>
          </w:p>
        </w:tc>
        <w:tc>
          <w:tcPr>
            <w:tcW w:w="7020" w:type="dxa"/>
            <w:vAlign w:val="bottom"/>
            <w:gridSpan w:val="15"/>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S-32</w:t>
            </w:r>
          </w:p>
        </w:tc>
        <w:tc>
          <w:tcPr>
            <w:tcW w:w="0" w:type="dxa"/>
            <w:vAlign w:val="bottom"/>
          </w:tcPr>
          <w:p>
            <w:pPr>
              <w:spacing w:after="0"/>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EXPERTS</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S-32</w:t>
            </w:r>
          </w:p>
        </w:tc>
        <w:tc>
          <w:tcPr>
            <w:tcW w:w="0" w:type="dxa"/>
            <w:vAlign w:val="bottom"/>
          </w:tcPr>
          <w:p>
            <w:pPr>
              <w:spacing w:after="0"/>
              <w:rPr>
                <w:sz w:val="1"/>
                <w:szCs w:val="1"/>
                <w:color w:val="auto"/>
              </w:rPr>
            </w:pPr>
          </w:p>
        </w:tc>
      </w:tr>
      <w:tr>
        <w:trPr>
          <w:trHeight w:val="512"/>
        </w:trPr>
        <w:tc>
          <w:tcPr>
            <w:tcW w:w="5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380" w:type="dxa"/>
            <w:vAlign w:val="bottom"/>
            <w:gridSpan w:val="2"/>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7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6420" w:type="dxa"/>
            <w:vAlign w:val="bottom"/>
            <w:gridSpan w:val="11"/>
            <w:vMerge w:val="restart"/>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31"/>
        </w:trPr>
        <w:tc>
          <w:tcPr>
            <w:tcW w:w="1720" w:type="dxa"/>
            <w:vAlign w:val="bottom"/>
            <w:tcBorders>
              <w:bottom w:val="single" w:sz="8" w:color="0000EE"/>
            </w:tcBorders>
            <w:gridSpan w:val="7"/>
            <w:vMerge w:val="continue"/>
          </w:tcPr>
          <w:p>
            <w:pPr>
              <w:spacing w:after="0"/>
              <w:rPr>
                <w:sz w:val="10"/>
                <w:szCs w:val="10"/>
                <w:color w:val="auto"/>
              </w:rPr>
            </w:pPr>
          </w:p>
        </w:tc>
        <w:tc>
          <w:tcPr>
            <w:tcW w:w="6420" w:type="dxa"/>
            <w:vAlign w:val="bottom"/>
            <w:gridSpan w:val="11"/>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CAUTIONARY STATEMENTS REGARDING CERTAIN FORWARD-LOOKING INFORMATION</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0"/>
        </w:trPr>
        <w:tc>
          <w:tcPr>
            <w:tcW w:w="56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rPr>
              <w:t>EVERGY KANSAS CENTRAL, INC.</w:t>
            </w:r>
          </w:p>
        </w:tc>
        <w:tc>
          <w:tcPr>
            <w:tcW w:w="248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0"/>
        </w:trPr>
        <w:tc>
          <w:tcPr>
            <w:tcW w:w="9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RISK FACTORS</w:t>
            </w:r>
          </w:p>
        </w:tc>
        <w:tc>
          <w:tcPr>
            <w:tcW w:w="1200" w:type="dxa"/>
            <w:vAlign w:val="bottom"/>
            <w:tcBorders>
              <w:top w:val="single" w:sz="8" w:color="0000EE"/>
            </w:tcBorders>
            <w:gridSpan w:val="7"/>
          </w:tcPr>
          <w:p>
            <w:pPr>
              <w:spacing w:after="0"/>
              <w:rPr>
                <w:sz w:val="20"/>
                <w:szCs w:val="20"/>
                <w:color w:val="auto"/>
              </w:rPr>
            </w:pPr>
          </w:p>
        </w:tc>
        <w:tc>
          <w:tcPr>
            <w:tcW w:w="5980" w:type="dxa"/>
            <w:vAlign w:val="bottom"/>
            <w:gridSpan w:val="9"/>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USE OF PROCEEDS</w:t>
            </w:r>
          </w:p>
        </w:tc>
        <w:tc>
          <w:tcPr>
            <w:tcW w:w="6920" w:type="dxa"/>
            <w:vAlign w:val="bottom"/>
            <w:gridSpan w:val="14"/>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DESCRIPTION OF DEBT SECURITIES</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7"/>
              </w:rPr>
              <w:t>DESCRIPTION OF FIRST MORTGAGE BONDS</w:t>
            </w:r>
          </w:p>
        </w:tc>
        <w:tc>
          <w:tcPr>
            <w:tcW w:w="5300" w:type="dxa"/>
            <w:vAlign w:val="bottom"/>
            <w:gridSpan w:val="5"/>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BOOK-ENTRY SYSTEM</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60" w:type="dxa"/>
            <w:vAlign w:val="bottom"/>
            <w:gridSpan w:val="1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7"/>
              </w:rPr>
              <w:t>PLAN OF DISTRIBUTION</w:t>
            </w:r>
          </w:p>
        </w:tc>
        <w:tc>
          <w:tcPr>
            <w:tcW w:w="6560" w:type="dxa"/>
            <w:vAlign w:val="bottom"/>
            <w:gridSpan w:val="12"/>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30"/>
        </w:trPr>
        <w:tc>
          <w:tcPr>
            <w:tcW w:w="11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5"/>
              </w:rPr>
              <w:t>LEGAL MATTERS</w:t>
            </w:r>
          </w:p>
        </w:tc>
        <w:tc>
          <w:tcPr>
            <w:tcW w:w="7020" w:type="dxa"/>
            <w:vAlign w:val="bottom"/>
            <w:gridSpan w:val="15"/>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EXPERTS</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7560" w:type="dxa"/>
            <w:vAlign w:val="bottom"/>
            <w:gridSpan w:val="1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93"/>
        </w:trPr>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4380" w:type="dxa"/>
            <w:vAlign w:val="bottom"/>
            <w:gridSpan w:val="2"/>
          </w:tcPr>
          <w:p>
            <w:pPr>
              <w:jc w:val="center"/>
              <w:ind w:right="3420"/>
              <w:spacing w:after="0"/>
              <w:rPr>
                <w:sz w:val="20"/>
                <w:szCs w:val="20"/>
                <w:color w:val="auto"/>
              </w:rPr>
            </w:pPr>
            <w:r>
              <w:rPr>
                <w:rFonts w:ascii="Times New Roman" w:cs="Times New Roman" w:eastAsia="Times New Roman" w:hAnsi="Times New Roman"/>
                <w:sz w:val="14"/>
                <w:szCs w:val="14"/>
                <w:color w:val="auto"/>
              </w:rPr>
              <w:t>i</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5"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terms of this offering. The second part is the accompanying prospectus dated August 16, 2024, which we refer to as the “accompanying prospectus.” The accompanying prospectus contains a description of the securities we may offer under the registration statement of which this prospectus supplement and the accompanying prospectus form a part and gives more general information, some of which may not apply to the bonds offered hereby.</w:t>
      </w:r>
    </w:p>
    <w:p>
      <w:pPr>
        <w:spacing w:after="0" w:line="139" w:lineRule="exact"/>
        <w:rPr>
          <w:sz w:val="20"/>
          <w:szCs w:val="20"/>
          <w:color w:val="auto"/>
        </w:rPr>
      </w:pPr>
    </w:p>
    <w:p>
      <w:pPr>
        <w:ind w:left="1400" w:right="399" w:firstLine="340"/>
        <w:spacing w:after="0" w:line="253"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any free writing prospectus that we file with the Securities and Exchange Commission (the “SEC”)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materially since those dates.</w:t>
      </w:r>
    </w:p>
    <w:p>
      <w:pPr>
        <w:spacing w:after="0" w:line="147"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We expect to deliver the bonds against payment for the bonds on or about the date specified in the last paragraph of the cover page of this prospectus supplement, which will be the fourth business day following the date of this prospectus supplement (“T+4”). Under Rule 15c6-1 under the Securities Exchange Act of 1934, as amended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T+4, to specify alternative settlement arrangements to prevent a failed settlement.</w:t>
      </w:r>
    </w:p>
    <w:p>
      <w:pPr>
        <w:spacing w:after="0" w:line="145"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Before you invest in the bonds, you should carefully read the registration statement (including the exhibits thereto) of which this prospectus supplement and the accompanying prospectus form a part, this prospectus supplement, the accompanying prospectus and the documents incorporated by reference in this prospectus supplement. The incorporated documents are described in this prospectus supplement under “Where You Can Find More Information.”</w:t>
      </w:r>
    </w:p>
    <w:p>
      <w:pPr>
        <w:spacing w:after="0" w:line="139"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The bonds are not guaranteed by our parent company, Evergy, Inc. (“Evergy”) or any of its other or our subsidiaries. None of those entities has any obligation to make any capital contributions or distributions or to advance funds to us for the purpose of paying the principal of, or premium, if any, or interest on, the bonds or any other amount that may be required to be paid under the mortgage (as defined herein) or the bonds, preventing or curing an event of default under the terms of the mortgage, complying with any other obligation under the mortgage or the bonds or otherwise.</w:t>
      </w:r>
    </w:p>
    <w:p>
      <w:pPr>
        <w:spacing w:after="0" w:line="139" w:lineRule="exact"/>
        <w:rPr>
          <w:sz w:val="20"/>
          <w:szCs w:val="20"/>
          <w:color w:val="auto"/>
        </w:rPr>
      </w:pPr>
    </w:p>
    <w:p>
      <w:pPr>
        <w:ind w:left="1400" w:right="479" w:firstLine="340"/>
        <w:spacing w:after="0" w:line="264" w:lineRule="auto"/>
        <w:rPr>
          <w:sz w:val="20"/>
          <w:szCs w:val="20"/>
          <w:color w:val="auto"/>
        </w:rPr>
      </w:pPr>
      <w:r>
        <w:rPr>
          <w:rFonts w:ascii="Times New Roman" w:cs="Times New Roman" w:eastAsia="Times New Roman" w:hAnsi="Times New Roman"/>
          <w:sz w:val="14"/>
          <w:szCs w:val="14"/>
          <w:color w:val="auto"/>
        </w:rPr>
        <w:t>Unless the context otherwise requires or as otherwise indicated, when we refer to “Evergy Kansas Central, Inc.,” “Evergy Kansas Central,” the “Company,” “we,” “us” or “our” in this prospectus supplement or the accompanying prospectus or when we otherwise refer to ourselves herein or therein, we mean Evergy Kansas Central, Inc. and not any of its subsidiaries or other affiliates, unless the context clearly indicates otherwise.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CAUTIONARY STATEMENTS REGARDING CERTAIN FORWARD-LOOKING INFORMATION</w:t>
      </w:r>
    </w:p>
    <w:p>
      <w:pPr>
        <w:spacing w:after="0" w:line="175" w:lineRule="exact"/>
        <w:rPr>
          <w:sz w:val="20"/>
          <w:szCs w:val="20"/>
          <w:color w:val="auto"/>
        </w:rPr>
      </w:pPr>
    </w:p>
    <w:p>
      <w:pPr>
        <w:ind w:left="1400" w:right="379" w:firstLine="340"/>
        <w:spacing w:after="0" w:line="278" w:lineRule="auto"/>
        <w:rPr>
          <w:sz w:val="20"/>
          <w:szCs w:val="20"/>
          <w:color w:val="auto"/>
        </w:rPr>
      </w:pPr>
      <w:r>
        <w:rPr>
          <w:rFonts w:ascii="Times New Roman" w:cs="Times New Roman" w:eastAsia="Times New Roman" w:hAnsi="Times New Roman"/>
          <w:sz w:val="13"/>
          <w:szCs w:val="13"/>
          <w:color w:val="auto"/>
        </w:rPr>
        <w:t>Statements made in this prospectus supplement, the accompanying prospectus and the documents incorporated by reference herein as described under “Where You Can Find More Information” that are not based on historical facts are forward-looking, may involve risks and uncertainties, and are intended to be as of the date when made. Forward-looking statements are often accompanied by forward-looking words such as “anticipates,” “believes,” “expects,” “estimates,” “forecasts,” “guidance,” “should,” “could,” “may,” “seeks,” “intends,” “predict,” “potential,” “opportunities,”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29" w:lineRule="exact"/>
        <w:rPr>
          <w:sz w:val="20"/>
          <w:szCs w:val="20"/>
          <w:color w:val="auto"/>
        </w:rPr>
      </w:pPr>
    </w:p>
    <w:p>
      <w:pPr>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In connection with the safe harbor provisions of the Private Securities Litigation Reform Act of 1995, the Company is providing a number of risks, uncertainties and other factors that could cause actual results to differ from the forward-looking information. These risks, uncertainties and other factors include, but are not limited to:</w:t>
      </w:r>
    </w:p>
    <w:p>
      <w:pPr>
        <w:spacing w:after="0" w:line="63" w:lineRule="exact"/>
        <w:rPr>
          <w:sz w:val="20"/>
          <w:szCs w:val="20"/>
          <w:color w:val="auto"/>
        </w:rPr>
      </w:pPr>
    </w:p>
    <w:p>
      <w:pPr>
        <w:ind w:left="2140" w:hanging="333"/>
        <w:spacing w:after="0"/>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weather conditions and any impact on sales, prices and costs;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the demand for electricity;</w:t>
      </w:r>
    </w:p>
    <w:p>
      <w:pPr>
        <w:spacing w:after="0" w:line="99" w:lineRule="exact"/>
        <w:rPr>
          <w:rFonts w:ascii="Times New Roman" w:cs="Times New Roman" w:eastAsia="Times New Roman" w:hAnsi="Times New Roman"/>
          <w:sz w:val="14"/>
          <w:szCs w:val="14"/>
          <w:color w:val="auto"/>
        </w:rPr>
      </w:pPr>
    </w:p>
    <w:p>
      <w:pPr>
        <w:ind w:left="2140" w:right="519" w:hanging="333"/>
        <w:spacing w:after="0" w:line="279" w:lineRule="auto"/>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business strategy or operations, including with respect to Evergy Kansas Central’s strategy to meet demand requirements of existing and future customers;</w:t>
      </w:r>
    </w:p>
    <w:p>
      <w:pPr>
        <w:spacing w:after="0" w:line="53" w:lineRule="exact"/>
        <w:rPr>
          <w:rFonts w:ascii="Times New Roman" w:cs="Times New Roman" w:eastAsia="Times New Roman" w:hAnsi="Times New Roman"/>
          <w:sz w:val="14"/>
          <w:szCs w:val="14"/>
          <w:color w:val="auto"/>
        </w:rPr>
      </w:pPr>
    </w:p>
    <w:p>
      <w:pPr>
        <w:ind w:left="2140" w:right="799" w:hanging="333"/>
        <w:spacing w:after="0" w:line="279" w:lineRule="auto"/>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federal, state and local political, legislative, judicial and regulatory actions or developments, including deregulation, re-regulation, securitization and restructuring of the electric utility industry;</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trade policies (including tariffs and other trade measures) and responses from other countries;</w:t>
      </w:r>
    </w:p>
    <w:p>
      <w:pPr>
        <w:spacing w:after="0" w:line="99" w:lineRule="exact"/>
        <w:rPr>
          <w:rFonts w:ascii="Times New Roman" w:cs="Times New Roman" w:eastAsia="Times New Roman" w:hAnsi="Times New Roman"/>
          <w:sz w:val="14"/>
          <w:szCs w:val="14"/>
          <w:color w:val="auto"/>
        </w:rPr>
      </w:pPr>
    </w:p>
    <w:p>
      <w:pPr>
        <w:ind w:left="2140" w:right="819" w:hanging="333"/>
        <w:spacing w:after="0" w:line="279" w:lineRule="auto"/>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build or acquire generation, battery storage and transmission facilities to meet the future demand for electricity from customers;</w:t>
      </w:r>
    </w:p>
    <w:p>
      <w:pPr>
        <w:spacing w:after="0" w:line="53" w:lineRule="exact"/>
        <w:rPr>
          <w:rFonts w:ascii="Times New Roman" w:cs="Times New Roman" w:eastAsia="Times New Roman" w:hAnsi="Times New Roman"/>
          <w:sz w:val="14"/>
          <w:szCs w:val="14"/>
          <w:color w:val="auto"/>
        </w:rPr>
      </w:pPr>
    </w:p>
    <w:p>
      <w:pPr>
        <w:ind w:left="2140" w:right="479" w:hanging="333"/>
        <w:spacing w:after="0" w:line="256" w:lineRule="auto"/>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control costs, avoid costs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w:t>
      </w:r>
    </w:p>
    <w:p>
      <w:pPr>
        <w:spacing w:after="0" w:line="69" w:lineRule="exact"/>
        <w:rPr>
          <w:rFonts w:ascii="Times New Roman" w:cs="Times New Roman" w:eastAsia="Times New Roman" w:hAnsi="Times New Roman"/>
          <w:sz w:val="14"/>
          <w:szCs w:val="14"/>
          <w:color w:val="auto"/>
        </w:rPr>
      </w:pPr>
    </w:p>
    <w:p>
      <w:pPr>
        <w:ind w:left="2140" w:right="979" w:hanging="333"/>
        <w:spacing w:after="0" w:line="279" w:lineRule="auto"/>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of regulators regarding, among other things, customer rates and the prudency of operational decisions such as capital expenditures and asset retirements;</w:t>
      </w:r>
    </w:p>
    <w:p>
      <w:pPr>
        <w:spacing w:after="0" w:line="53" w:lineRule="exact"/>
        <w:rPr>
          <w:rFonts w:ascii="Times New Roman" w:cs="Times New Roman" w:eastAsia="Times New Roman" w:hAnsi="Times New Roman"/>
          <w:sz w:val="14"/>
          <w:szCs w:val="14"/>
          <w:color w:val="auto"/>
        </w:rPr>
      </w:pPr>
    </w:p>
    <w:p>
      <w:pPr>
        <w:ind w:left="2140" w:right="799" w:hanging="333"/>
        <w:spacing w:after="0" w:line="279" w:lineRule="auto"/>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regulations, rules, principles or practices, or the interpretations thereof, governing tax, accounting and environmental matters, including air and water quality and waste management and disposal;</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adoption and use of artificial intelligence by Evergy Kansas Central and its third-party vendors;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change, including increased frequency and severity of significant weather events;</w:t>
      </w:r>
    </w:p>
    <w:p>
      <w:pPr>
        <w:spacing w:after="0" w:line="99"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potential wildfires, including costs of litigation, potential regulatory penalties and damages in excess of insurance liability coverage;</w:t>
      </w:r>
    </w:p>
    <w:p>
      <w:pPr>
        <w:spacing w:after="0" w:line="53" w:lineRule="exact"/>
        <w:rPr>
          <w:rFonts w:ascii="Times New Roman" w:cs="Times New Roman" w:eastAsia="Times New Roman" w:hAnsi="Times New Roman"/>
          <w:sz w:val="14"/>
          <w:szCs w:val="14"/>
          <w:color w:val="auto"/>
        </w:rPr>
      </w:pPr>
    </w:p>
    <w:p>
      <w:pPr>
        <w:ind w:left="2140" w:right="679" w:hanging="333"/>
        <w:spacing w:after="0" w:line="279" w:lineRule="auto"/>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counterparties are willing to do business with, finance the operations of or purchase energy from Evergy Kansas Central due to the fact that Evergy Kansas Central operates coal-fired generation;</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and availability of electricity and natural gas in wholesale markets;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perception of the energy industry and Evergy Kansas Central;</w:t>
      </w:r>
    </w:p>
    <w:p>
      <w:pPr>
        <w:spacing w:after="0" w:line="99" w:lineRule="exact"/>
        <w:rPr>
          <w:rFonts w:ascii="Times New Roman" w:cs="Times New Roman" w:eastAsia="Times New Roman" w:hAnsi="Times New Roman"/>
          <w:sz w:val="14"/>
          <w:szCs w:val="14"/>
          <w:color w:val="auto"/>
        </w:rPr>
      </w:pPr>
    </w:p>
    <w:p>
      <w:pPr>
        <w:ind w:left="2140" w:right="479" w:hanging="333"/>
        <w:spacing w:after="0" w:line="264"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pandemic health events on, among other things, sales, results of operations, financial position, liquidity and cash flows, and also on operational issues, such as supply chain issues and the availability and ability of Evergy Kansas Central’s employees and suppliers to perform the functions that are necessary to operate Evergy Kansas Central;</w:t>
      </w:r>
    </w:p>
    <w:p>
      <w:pPr>
        <w:spacing w:after="0" w:line="63" w:lineRule="exact"/>
        <w:rPr>
          <w:rFonts w:ascii="Times New Roman" w:cs="Times New Roman" w:eastAsia="Times New Roman" w:hAnsi="Times New Roman"/>
          <w:sz w:val="14"/>
          <w:szCs w:val="14"/>
          <w:color w:val="auto"/>
        </w:rPr>
      </w:pPr>
    </w:p>
    <w:p>
      <w:pPr>
        <w:ind w:left="2140" w:right="619" w:hanging="333"/>
        <w:spacing w:after="0" w:line="279"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energy trading markets in which Evergy Kansas Central participates, including retroactive repricing of transactions by regional transmission organizations and independent system operators;</w:t>
      </w:r>
    </w:p>
    <w:p>
      <w:pPr>
        <w:spacing w:after="0" w:line="53" w:lineRule="exact"/>
        <w:rPr>
          <w:rFonts w:ascii="Times New Roman" w:cs="Times New Roman" w:eastAsia="Times New Roman" w:hAnsi="Times New Roman"/>
          <w:sz w:val="14"/>
          <w:szCs w:val="14"/>
          <w:color w:val="auto"/>
        </w:rPr>
      </w:pPr>
    </w:p>
    <w:p>
      <w:pPr>
        <w:ind w:left="2140" w:right="299" w:hanging="333"/>
        <w:spacing w:after="0" w:line="264"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impairments of long-lived assets or goodwill;</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ratings;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rates;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risk management policies and procedures and the ability of counterparties to satisfy their contractual commitments;</w:t>
      </w:r>
    </w:p>
    <w:p>
      <w:pPr>
        <w:spacing w:after="0" w:line="99" w:lineRule="exact"/>
        <w:rPr>
          <w:rFonts w:ascii="Times New Roman" w:cs="Times New Roman" w:eastAsia="Times New Roman" w:hAnsi="Times New Roman"/>
          <w:sz w:val="14"/>
          <w:szCs w:val="14"/>
          <w:color w:val="auto"/>
        </w:rPr>
      </w:pPr>
    </w:p>
    <w:p>
      <w:pPr>
        <w:ind w:left="2140" w:right="519" w:hanging="333"/>
        <w:spacing w:after="0" w:line="264"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of physical and cybersecurity breaches, criminal activity, terrorist attacks, acts of war and other disruptions to Evergy Kansas Central’s facilities or information technology infrastructure or the facilities and infrastructure of third-party service providers on which Evergy Kansas Central relies;</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of geopolitical conflicts on the global energy market, including the ability to contract for non-Russian sourced uranium;</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carry out marketing and sales plans;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availability, quality and timely provision of equipment, supplies, labor and fuel;</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achieve generation goals and the occurrence and duration of planned and unplanned generation outages;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Evergy Kansas Central’s ability to manage its generation, transmission and distribution development plans and transmission joint ventures;</w:t>
      </w:r>
    </w:p>
    <w:p>
      <w:pPr>
        <w:spacing w:after="0" w:line="111" w:lineRule="exact"/>
        <w:rPr>
          <w:rFonts w:ascii="Times New Roman" w:cs="Times New Roman" w:eastAsia="Times New Roman" w:hAnsi="Times New Roman"/>
          <w:sz w:val="13"/>
          <w:szCs w:val="13"/>
          <w:color w:val="auto"/>
        </w:rPr>
      </w:pPr>
    </w:p>
    <w:p>
      <w:pPr>
        <w:ind w:left="2140" w:right="339" w:hanging="333"/>
        <w:spacing w:after="0" w:line="279"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inherent risks associated with the ownership and operation of a nuclear facility, including environmental, health, safety, regulatory and financial risks;</w:t>
      </w:r>
    </w:p>
    <w:p>
      <w:pPr>
        <w:spacing w:after="0" w:line="53" w:lineRule="exact"/>
        <w:rPr>
          <w:rFonts w:ascii="Times New Roman" w:cs="Times New Roman" w:eastAsia="Times New Roman" w:hAnsi="Times New Roman"/>
          <w:sz w:val="14"/>
          <w:szCs w:val="14"/>
          <w:color w:val="auto"/>
        </w:rPr>
      </w:pPr>
    </w:p>
    <w:p>
      <w:pPr>
        <w:ind w:left="2140" w:right="439" w:hanging="333"/>
        <w:spacing w:after="0" w:line="279"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risks, including those related to Evergy Kansas Central’s ability to attract and retain qualified personnel, maintain satisfactory relationships with their labor unions and manage costs of, or changes in, wages, retirement, health care and other benefits;</w:t>
      </w:r>
    </w:p>
    <w:p>
      <w:pPr>
        <w:spacing w:after="0" w:line="53"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costs and uncertainties caused by or related to the actions of individuals or entities, such as activist shareholders of our parent company or special interest groups, that seek to influence our strategic plan, financial results or operations;</w:t>
      </w:r>
    </w:p>
    <w:p>
      <w:pPr>
        <w:spacing w:after="0" w:line="53" w:lineRule="exact"/>
        <w:rPr>
          <w:rFonts w:ascii="Times New Roman" w:cs="Times New Roman" w:eastAsia="Times New Roman" w:hAnsi="Times New Roman"/>
          <w:sz w:val="14"/>
          <w:szCs w:val="14"/>
          <w:color w:val="auto"/>
        </w:rPr>
      </w:pPr>
    </w:p>
    <w:p>
      <w:pPr>
        <w:ind w:left="2140" w:right="259" w:hanging="333"/>
        <w:spacing w:after="0" w:line="264"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changing expectations and demands of Evergy Kansas Central’s customers, regulators, investors and stakeholders, including differing views on environmental, social and governance concerns, which, among other things, could impact the trajectory of expected load growth;</w:t>
      </w:r>
    </w:p>
    <w:p>
      <w:pPr>
        <w:spacing w:after="0" w:line="63"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strategic initiatives, including mergers, acquisitions, joint ventures and divestitures, and long-term financial plans, may not create the value that they are expected to achieve in a timely manner or at all;</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maintaining relationships with customers, employees, contractors, regulators or suppliers;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involving Evergy Kansas Central;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w:t>
      </w:r>
    </w:p>
    <w:p>
      <w:pPr>
        <w:spacing w:after="0" w:line="173" w:lineRule="exact"/>
        <w:rPr>
          <w:sz w:val="20"/>
          <w:szCs w:val="20"/>
          <w:color w:val="auto"/>
        </w:rPr>
      </w:pPr>
    </w:p>
    <w:p>
      <w:pPr>
        <w:ind w:left="1400" w:right="339" w:firstLine="340"/>
        <w:spacing w:after="0" w:line="252" w:lineRule="auto"/>
        <w:rPr>
          <w:sz w:val="20"/>
          <w:szCs w:val="20"/>
          <w:color w:val="auto"/>
        </w:rPr>
      </w:pPr>
      <w:r>
        <w:rPr>
          <w:rFonts w:ascii="Times New Roman" w:cs="Times New Roman" w:eastAsia="Times New Roman" w:hAnsi="Times New Roman"/>
          <w:sz w:val="14"/>
          <w:szCs w:val="14"/>
          <w:color w:val="auto"/>
        </w:rPr>
        <w:t>This list of factors is not all-inclusive because it is not possible to predict all factors. Risk factors discussed under Item 1A of Part I of our Annual Report on Form 10-K for the year ended December 31, 2024, which is incorporated herein by reference, should be carefully read for further understanding of potential risks for Evergy Kansas Central. Other sections of our Annual Report on Form 10-K for the year ended December 31, 2024 and other reports filed by Evergy Kansas Central with the SEC should also be read for more information regarding risk factors. New factors emerge from time to time, and it’s not possible for Evergy Kansas Central to predict all such factors, nor can Evergy Kansas Central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Evergy Kansas Central undertakes no obligation to publicly update or revise any forward-looking statement, whether as a result of new information, future events or otherwise, except as required by law.</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5" w:lineRule="exact"/>
        <w:rPr>
          <w:sz w:val="20"/>
          <w:szCs w:val="20"/>
          <w:color w:val="auto"/>
        </w:rPr>
      </w:pPr>
    </w:p>
    <w:p>
      <w:pPr>
        <w:ind w:left="1400" w:right="599" w:firstLine="340"/>
        <w:spacing w:after="0" w:line="279" w:lineRule="auto"/>
        <w:rPr>
          <w:sz w:val="20"/>
          <w:szCs w:val="20"/>
          <w:color w:val="auto"/>
        </w:rPr>
      </w:pPr>
      <w:r>
        <w:rPr>
          <w:rFonts w:ascii="Times New Roman" w:cs="Times New Roman" w:eastAsia="Times New Roman" w:hAnsi="Times New Roman"/>
          <w:sz w:val="14"/>
          <w:szCs w:val="14"/>
          <w:color w:val="auto"/>
        </w:rPr>
        <w:t>We file annual, quarterly and current reports and other information with the SEC through the SEC’s Electronic Data Gathering, Analysis and Retrieval system and these filings are publicly available through the SEC’s website (http://www.sec.gov).</w:t>
      </w:r>
    </w:p>
    <w:p>
      <w:pPr>
        <w:spacing w:after="0" w:line="126"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supplement the information we file with the SEC, which means that we can disclose important information to you by referring you to the documents containing the information. The information we incorporate by reference is considered to be included in and an important part of this prospectus supplement and should be read with the same care. Information that we file later with the SEC that is incorporated by reference in this prospectus supplement will automatically update and supersede this information. We are incorporating by reference in this prospectus supplement the following documents that we have filed with the SEC and any subsequent filings we make with the SEC under Section 13(a), 13(c), 14 or 15(d) of the Exchange Act until this offering of the bonds is completed (except to the extent that any information contained in such filings is deemed “furnished” and not “filed” pursuant to Item 2.02 or Item 7.01 of any Current Report on Form 8-K and corresponding exhibits thereto or other applicable SEC rules):</w:t>
      </w:r>
    </w:p>
    <w:p>
      <w:pPr>
        <w:spacing w:after="0" w:line="71" w:lineRule="exact"/>
        <w:rPr>
          <w:sz w:val="20"/>
          <w:szCs w:val="20"/>
          <w:color w:val="auto"/>
        </w:rPr>
      </w:pPr>
    </w:p>
    <w:p>
      <w:pPr>
        <w:ind w:left="2140" w:hanging="33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26, 2025;</w:t>
      </w:r>
    </w:p>
    <w:p>
      <w:pPr>
        <w:spacing w:after="0" w:line="99" w:lineRule="exact"/>
        <w:rPr>
          <w:rFonts w:ascii="Times New Roman" w:cs="Times New Roman" w:eastAsia="Times New Roman" w:hAnsi="Times New Roman"/>
          <w:sz w:val="14"/>
          <w:szCs w:val="14"/>
          <w:color w:val="auto"/>
        </w:rPr>
      </w:pPr>
    </w:p>
    <w:p>
      <w:pPr>
        <w:ind w:left="2140" w:right="259" w:hanging="333"/>
        <w:spacing w:after="0" w:line="279" w:lineRule="auto"/>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w:t>
      </w:r>
      <w:hyperlink r:id="rId20">
        <w:r>
          <w:rPr>
            <w:rFonts w:ascii="Times New Roman" w:cs="Times New Roman" w:eastAsia="Times New Roman" w:hAnsi="Times New Roman"/>
            <w:sz w:val="14"/>
            <w:szCs w:val="14"/>
            <w:u w:val="single" w:color="auto"/>
            <w:color w:val="0000EE"/>
          </w:rPr>
          <w:t>March 31, 2025</w:t>
        </w:r>
      </w:hyperlink>
      <w:r>
        <w:rPr>
          <w:rFonts w:ascii="Times New Roman" w:cs="Times New Roman" w:eastAsia="Times New Roman" w:hAnsi="Times New Roman"/>
          <w:sz w:val="14"/>
          <w:szCs w:val="14"/>
          <w:color w:val="auto"/>
        </w:rPr>
        <w:t xml:space="preserve">, </w:t>
      </w:r>
      <w:hyperlink r:id="rId21">
        <w:r>
          <w:rPr>
            <w:rFonts w:ascii="Times New Roman" w:cs="Times New Roman" w:eastAsia="Times New Roman" w:hAnsi="Times New Roman"/>
            <w:sz w:val="14"/>
            <w:szCs w:val="14"/>
            <w:u w:val="single" w:color="auto"/>
            <w:color w:val="0000EE"/>
          </w:rPr>
          <w:t>June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2">
        <w:r>
          <w:rPr>
            <w:rFonts w:ascii="Times New Roman" w:cs="Times New Roman" w:eastAsia="Times New Roman" w:hAnsi="Times New Roman"/>
            <w:sz w:val="14"/>
            <w:szCs w:val="14"/>
            <w:u w:val="single" w:color="auto"/>
            <w:color w:val="0000EE"/>
          </w:rPr>
          <w:t>September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May 8, 2025, August 7, 2025 and November 6, 2025, respectively; and</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23">
        <w:r>
          <w:rPr>
            <w:rFonts w:ascii="Times New Roman" w:cs="Times New Roman" w:eastAsia="Times New Roman" w:hAnsi="Times New Roman"/>
            <w:sz w:val="14"/>
            <w:szCs w:val="14"/>
            <w:u w:val="single" w:color="auto"/>
            <w:color w:val="0000EE"/>
          </w:rPr>
          <w:t>March 13, 2025</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EE"/>
          </w:rPr>
          <w:t>March 27, 2025</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EE"/>
          </w:rPr>
          <w:t>September 3,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6">
        <w:r>
          <w:rPr>
            <w:rFonts w:ascii="Times New Roman" w:cs="Times New Roman" w:eastAsia="Times New Roman" w:hAnsi="Times New Roman"/>
            <w:sz w:val="14"/>
            <w:szCs w:val="14"/>
            <w:u w:val="single" w:color="auto"/>
            <w:color w:val="0000EE"/>
          </w:rPr>
          <w:t>November 25, 2025</w:t>
        </w:r>
      </w:hyperlink>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We, our parent company, Evergy, and another wholly owned subsidiary of Evergy, Evergy Metro, Inc. (“Evergy Metro”), separately filed the combined Annual Report on Form 10-K, the Quarterly Reports on Form 10-Q and, as applicable, the Current Reports on Form 8-K listed above. However, the information therein relating solely to our parent and its consolidated subsidiaries (other than Evergy Kansas Central and its consolidated subsidiaries), including Evergy Missouri West, Inc., was separately filed by Evergy on its behalf, the information therein relating solely to Evergy Metro and its subsidiaries was separately filed by Evergy Metro on its behalf and the information therein relating solely to Evergy Kansas Central and its consolidated subsidiaries was separately filed by us. We do not intend to incorporate by reference in this prospectus supplement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therein. The only information you should rely upon in determining whether to invest in the bonds offered hereby is the information of Evergy Kansas Central and its consolidated subsidiaries contained in this prospectus supplement and the accompanying prospectus, the information separately provided by Evergy Kansas Central and its consolidated subsidiaries in the documents incorporated by reference herein and any free writing prospectus used in connection with the offering of the bonds described in this prospectus supplement and the accompanying prospectus.</w:t>
      </w:r>
    </w:p>
    <w:p>
      <w:pPr>
        <w:spacing w:after="0" w:line="148" w:lineRule="exact"/>
        <w:rPr>
          <w:rFonts w:ascii="Times New Roman" w:cs="Times New Roman" w:eastAsia="Times New Roman" w:hAnsi="Times New Roman"/>
          <w:sz w:val="14"/>
          <w:szCs w:val="14"/>
          <w:color w:val="auto"/>
        </w:rPr>
      </w:pPr>
    </w:p>
    <w:p>
      <w:pPr>
        <w:ind w:left="1400" w:right="299" w:firstLine="340"/>
        <w:spacing w:after="0" w:line="271" w:lineRule="auto"/>
        <w:rPr>
          <w:sz w:val="20"/>
          <w:szCs w:val="20"/>
          <w:color w:val="auto"/>
        </w:rPr>
      </w:pPr>
      <w:r>
        <w:rPr>
          <w:rFonts w:ascii="Times New Roman" w:cs="Times New Roman" w:eastAsia="Times New Roman" w:hAnsi="Times New Roman"/>
          <w:sz w:val="13"/>
          <w:szCs w:val="13"/>
          <w:color w:val="auto"/>
        </w:rPr>
        <w:t>Our parent’s website is www.evergy.com. Information contained on our parent’s website is not incorporated herein. We make available, free of charge, on or through the “Investor Relations” tab on our parent’s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w:t>
      </w:r>
    </w:p>
    <w:p>
      <w:pPr>
        <w:spacing w:after="0" w:line="3" w:lineRule="exact"/>
        <w:rPr>
          <w:rFonts w:ascii="Times New Roman" w:cs="Times New Roman" w:eastAsia="Times New Roman" w:hAnsi="Times New Roman"/>
          <w:sz w:val="14"/>
          <w:szCs w:val="14"/>
          <w:color w:val="auto"/>
        </w:rPr>
      </w:pPr>
    </w:p>
    <w:p>
      <w:pPr>
        <w:ind w:left="5540" w:right="4159" w:hanging="4150"/>
        <w:spacing w:after="0" w:line="359" w:lineRule="auto"/>
        <w:tabs>
          <w:tab w:leader="none" w:pos="171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575-6300), Attention: Investor Relations, or by contacting us on our website. S-5</w:t>
      </w:r>
    </w:p>
    <w:p>
      <w:pPr>
        <w:sectPr>
          <w:pgSz w:w="11900" w:h="16838" w:orient="portrait"/>
          <w:cols w:equalWidth="0" w:num="1">
            <w:col w:w="10159"/>
          </w:cols>
          <w:pgMar w:left="300" w:top="38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1668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5408295" cy="1668145"/>
                    </a:xfrm>
                    <a:prstGeom prst="rect">
                      <a:avLst/>
                    </a:prstGeom>
                    <a:noFill/>
                  </pic:spPr>
                </pic:pic>
              </a:graphicData>
            </a:graphic>
          </wp:anchor>
        </w:drawing>
      </w:r>
    </w:p>
    <w:p>
      <w:pPr>
        <w:spacing w:after="0" w:line="36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3" w:lineRule="exact"/>
        <w:rPr>
          <w:sz w:val="20"/>
          <w:szCs w:val="20"/>
          <w:color w:val="auto"/>
        </w:rPr>
      </w:pPr>
    </w:p>
    <w:p>
      <w:pPr>
        <w:ind w:left="1540" w:right="539" w:firstLine="329"/>
        <w:spacing w:after="0" w:line="282" w:lineRule="auto"/>
        <w:rPr>
          <w:sz w:val="20"/>
          <w:szCs w:val="20"/>
          <w:color w:val="auto"/>
        </w:rPr>
      </w:pPr>
      <w:r>
        <w:rPr>
          <w:rFonts w:ascii="Times New Roman" w:cs="Times New Roman" w:eastAsia="Times New Roman" w:hAnsi="Times New Roman"/>
          <w:sz w:val="14"/>
          <w:szCs w:val="14"/>
          <w:i w:val="1"/>
          <w:iCs w:val="1"/>
          <w:color w:val="auto"/>
        </w:rPr>
        <w:t>You should read the following summary in conjunction with the more detailed information in this prospectus supplement, the accompanying prospectus and the documents incorporated herein by reference.</w:t>
      </w:r>
    </w:p>
    <w:p>
      <w:pPr>
        <w:spacing w:after="0" w:line="2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5" w:lineRule="exact"/>
        <w:rPr>
          <w:sz w:val="20"/>
          <w:szCs w:val="20"/>
          <w:color w:val="auto"/>
        </w:rPr>
      </w:pPr>
    </w:p>
    <w:p>
      <w:pPr>
        <w:ind w:left="1540" w:right="459" w:firstLine="329"/>
        <w:spacing w:after="0" w:line="254" w:lineRule="auto"/>
        <w:rPr>
          <w:sz w:val="20"/>
          <w:szCs w:val="20"/>
          <w:color w:val="auto"/>
        </w:rPr>
      </w:pPr>
      <w:r>
        <w:rPr>
          <w:rFonts w:ascii="Times New Roman" w:cs="Times New Roman" w:eastAsia="Times New Roman" w:hAnsi="Times New Roman"/>
          <w:sz w:val="14"/>
          <w:szCs w:val="14"/>
          <w:color w:val="auto"/>
        </w:rPr>
        <w:t>Evergy Kansas Central is an integrated, regulated electric utility that provides electricity to customers in the state of Kansas. Evergy Kansas Central has one active wholly owned subsidiary with significant operations, Evergy Kansas South, Inc. (“Evergy Kansas South”). We serve approximately 744,600 customers located in central and eastern Kansas. Customers include approximately 645,300 residences, 94,100 commercial firms, and 5,200 industrials, municipalities and other electric utilities. Evergy Kansas Central and Evergy Kansas South conduct business in their respective service territories using the name Evergy. Our principal executive offices are located at 818 South Kansas Avenue, Topeka, Kansas 66612. Our telephone number is (785) 575-6300.</w:t>
      </w: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4845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5408295" cy="4845685"/>
                    </a:xfrm>
                    <a:prstGeom prst="rect">
                      <a:avLst/>
                    </a:prstGeom>
                    <a:noFill/>
                  </pic:spPr>
                </pic:pic>
              </a:graphicData>
            </a:graphic>
          </wp:anchor>
        </w:drawing>
      </w:r>
    </w:p>
    <w:p>
      <w:pPr>
        <w:spacing w:after="0" w:line="3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3" w:lineRule="exact"/>
        <w:rPr>
          <w:sz w:val="20"/>
          <w:szCs w:val="20"/>
          <w:color w:val="auto"/>
        </w:rPr>
      </w:pPr>
    </w:p>
    <w:p>
      <w:pPr>
        <w:ind w:left="1540" w:right="419" w:firstLine="329"/>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summary contains basic information about the bonds. It does not contain all the information that is important to you. For a more complete understanding of the bonds, please refer to the section of this prospectus supplement entitled “Description of the Bonds” and the section of the accompanying prospectus entitled “Description of First Mortgage Bonds” and the information included or incorporated by reference herein before making an investment decision.</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182"/>
        </w:trPr>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Issuer</w:t>
            </w: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Evergy Kansas Central, Inc.</w:t>
            </w:r>
          </w:p>
        </w:tc>
      </w:tr>
      <w:tr>
        <w:trPr>
          <w:trHeight w:val="350"/>
        </w:trPr>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Offered</w:t>
            </w: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$300,000,000 aggregate principal amount of First Mortgage Bonds, 5.25% Series due 2035</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(the “bonds”). The bonds will constitute an additional issuance of our First Mortgage</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Bonds, 5.25% Series due 2035 issued on March 13, 2025 in an aggregate principal amount</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of $300 million (the “existing bonds”), which were offered by a prospectus supplement</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dated March 6, 2025, and will form a single series with the existing bonds. The bonds will</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have terms identical to the existing bonds, other than the date of issuance, the first interest</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accrual date, the first interest payment date and the initial price to the public, will have the</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same CUSIP number and will trade interchangeably with the existing bonds immediately</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upon settlement. Upon the issuance of the bonds, the aggregate principal amount of</w:t>
            </w:r>
          </w:p>
        </w:tc>
      </w:tr>
      <w:tr>
        <w:trPr>
          <w:trHeight w:val="182"/>
        </w:trPr>
        <w:tc>
          <w:tcPr>
            <w:tcW w:w="2220" w:type="dxa"/>
            <w:vAlign w:val="bottom"/>
          </w:tcPr>
          <w:p>
            <w:pPr>
              <w:spacing w:after="0"/>
              <w:rPr>
                <w:sz w:val="15"/>
                <w:szCs w:val="15"/>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outstanding bonds of this series (including the existing bonds) will be $600,000,000.</w:t>
            </w:r>
          </w:p>
        </w:tc>
      </w:tr>
      <w:tr>
        <w:trPr>
          <w:trHeight w:val="354"/>
        </w:trPr>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Maturity Date</w:t>
            </w: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The bonds will mature on March 15, 2035.</w:t>
            </w:r>
          </w:p>
        </w:tc>
      </w:tr>
      <w:tr>
        <w:trPr>
          <w:trHeight w:val="350"/>
        </w:trPr>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w:t>
            </w: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Interest on the bonds will accrue from September 15, 2025 (which is the most recent date</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to which interest has been paid on the existing bonds), which we refer to as “pre-issuance</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accrued interest” herein, at the rate of 5.25% per year, payable semi-annually in cash in</w:t>
            </w:r>
          </w:p>
        </w:tc>
      </w:tr>
      <w:tr>
        <w:trPr>
          <w:trHeight w:val="182"/>
        </w:trPr>
        <w:tc>
          <w:tcPr>
            <w:tcW w:w="2220" w:type="dxa"/>
            <w:vAlign w:val="bottom"/>
          </w:tcPr>
          <w:p>
            <w:pPr>
              <w:spacing w:after="0"/>
              <w:rPr>
                <w:sz w:val="15"/>
                <w:szCs w:val="15"/>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arrears on each March 15 and September 15, beginning on March 15, 2026.</w:t>
            </w:r>
          </w:p>
        </w:tc>
      </w:tr>
      <w:tr>
        <w:trPr>
          <w:trHeight w:val="339"/>
        </w:trPr>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Security</w:t>
            </w: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The bonds will be secured equally and ratably with all other first mortgage bonds now</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outstanding or hereafter issued under the mortgage by a lien on substantially all of our</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fixed property and franchises, including certain after-acquired property, subject to certain</w:t>
            </w:r>
          </w:p>
        </w:tc>
      </w:tr>
      <w:tr>
        <w:trPr>
          <w:trHeight w:val="182"/>
        </w:trPr>
        <w:tc>
          <w:tcPr>
            <w:tcW w:w="2220" w:type="dxa"/>
            <w:vAlign w:val="bottom"/>
          </w:tcPr>
          <w:p>
            <w:pPr>
              <w:spacing w:after="0"/>
              <w:rPr>
                <w:sz w:val="15"/>
                <w:szCs w:val="15"/>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exceptions.</w:t>
            </w:r>
          </w:p>
        </w:tc>
      </w:tr>
      <w:tr>
        <w:trPr>
          <w:trHeight w:val="339"/>
        </w:trPr>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Ranking</w:t>
            </w: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The bonds will be our secured obligations, equal in right of payment to all other debt</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currently outstanding or hereafter issued under the mortgage. The mortgage prohibits us</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from incurring other debt senior or equal to the bonds offered hereby unless certain tests</w:t>
            </w:r>
          </w:p>
        </w:tc>
      </w:tr>
      <w:tr>
        <w:trPr>
          <w:trHeight w:val="182"/>
        </w:trPr>
        <w:tc>
          <w:tcPr>
            <w:tcW w:w="2220" w:type="dxa"/>
            <w:vAlign w:val="bottom"/>
          </w:tcPr>
          <w:p>
            <w:pPr>
              <w:spacing w:after="0"/>
              <w:rPr>
                <w:sz w:val="15"/>
                <w:szCs w:val="15"/>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are met. The bonds will be structurally subordinated to the debt of our subsidiaries.</w:t>
            </w:r>
          </w:p>
        </w:tc>
      </w:tr>
      <w:tr>
        <w:trPr>
          <w:trHeight w:val="339"/>
        </w:trPr>
        <w:tc>
          <w:tcPr>
            <w:tcW w:w="2220" w:type="dxa"/>
            <w:vAlign w:val="bottom"/>
          </w:tcPr>
          <w:p>
            <w:pPr>
              <w:spacing w:after="0"/>
              <w:rPr>
                <w:sz w:val="24"/>
                <w:szCs w:val="2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As of September 30, 2025, after giving effect to this offering and the use of proceeds from</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the bonds, we would have had total indebtedness on our consolidated balance sheet of</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approximately $5.7 billion (excluding intracompany debt, trade payables and debt of</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variable interest entities). Of this amount, approximately $836.4 million would have been</w:t>
            </w:r>
          </w:p>
        </w:tc>
      </w:tr>
      <w:tr>
        <w:trPr>
          <w:trHeight w:val="167"/>
        </w:trPr>
        <w:tc>
          <w:tcPr>
            <w:tcW w:w="2220" w:type="dxa"/>
            <w:vAlign w:val="bottom"/>
          </w:tcPr>
          <w:p>
            <w:pPr>
              <w:spacing w:after="0"/>
              <w:rPr>
                <w:sz w:val="14"/>
                <w:szCs w:val="14"/>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structurally senior to the bonds because our subsidiaries are the obligors under such</w:t>
            </w:r>
          </w:p>
        </w:tc>
      </w:tr>
      <w:tr>
        <w:trPr>
          <w:trHeight w:val="182"/>
        </w:trPr>
        <w:tc>
          <w:tcPr>
            <w:tcW w:w="2220" w:type="dxa"/>
            <w:vAlign w:val="bottom"/>
          </w:tcPr>
          <w:p>
            <w:pPr>
              <w:spacing w:after="0"/>
              <w:rPr>
                <w:sz w:val="15"/>
                <w:szCs w:val="15"/>
                <w:color w:val="auto"/>
              </w:rPr>
            </w:pPr>
          </w:p>
        </w:tc>
        <w:tc>
          <w:tcPr>
            <w:tcW w:w="63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indebtedness.</w:t>
            </w:r>
          </w:p>
        </w:tc>
      </w:tr>
      <w:tr>
        <w:trPr>
          <w:trHeight w:val="130"/>
        </w:trPr>
        <w:tc>
          <w:tcPr>
            <w:tcW w:w="222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tcPr>
          <w:p>
            <w:pPr>
              <w:spacing w:after="0"/>
              <w:rPr>
                <w:sz w:val="11"/>
                <w:szCs w:val="11"/>
                <w:color w:val="auto"/>
              </w:rPr>
            </w:pPr>
          </w:p>
        </w:tc>
      </w:tr>
      <w:tr>
        <w:trPr>
          <w:trHeight w:val="277"/>
        </w:trPr>
        <w:tc>
          <w:tcPr>
            <w:tcW w:w="2220" w:type="dxa"/>
            <w:vAlign w:val="bottom"/>
          </w:tcPr>
          <w:p>
            <w:pPr>
              <w:spacing w:after="0"/>
              <w:rPr>
                <w:sz w:val="24"/>
                <w:szCs w:val="24"/>
                <w:color w:val="auto"/>
              </w:rPr>
            </w:pPr>
          </w:p>
        </w:tc>
        <w:tc>
          <w:tcPr>
            <w:tcW w:w="630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S-7</w:t>
            </w:r>
          </w:p>
        </w:tc>
      </w:tr>
    </w:tbl>
    <w:p>
      <w:pPr>
        <w:sectPr>
          <w:pgSz w:w="11900" w:h="16838" w:orient="portrait"/>
          <w:cols w:equalWidth="0" w:num="1">
            <w:col w:w="10159"/>
          </w:cols>
          <w:pgMar w:left="300" w:top="38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292"/>
        </w:trPr>
        <w:tc>
          <w:tcPr>
            <w:tcW w:w="244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Reopening of Bond Series</w:t>
            </w:r>
          </w:p>
        </w:tc>
        <w:tc>
          <w:tcPr>
            <w:tcW w:w="608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We may, without the consent of the holders of the bonds offered hereby, issue additional</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first mortgage bonds ranking equally with first mortgage bonds of other series then</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outstanding, including the bonds offered hereby, having dates, maturities, interest rates,</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redemption prices and other terms as our board of directors may determine only if certain</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conditions in the mortgage are satisfied. We may, from time to time, at our option and</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without the consent of any holder of the bonds offered hereby, reopen this series for the</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issuance of additional bonds. See “Description of the Bonds—Reopening of Bond Series”</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and “—Amendments to Mortgage—Issuance of Additional Bonds” in this prospectus</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supplement. As of September 30, 2025, approximately $2.2 billion in aggregate principal</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amount of additional first mortgage bonds could be issued under the most restrictive</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provisions of the mortgage, without giving effect to the issuance of the bonds offered</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hereby and the use of proceeds described under “Use of Proceeds” in this prospectus</w:t>
            </w:r>
          </w:p>
        </w:tc>
      </w:tr>
      <w:tr>
        <w:trPr>
          <w:trHeight w:val="182"/>
        </w:trPr>
        <w:tc>
          <w:tcPr>
            <w:tcW w:w="244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supplement.</w:t>
            </w:r>
          </w:p>
        </w:tc>
      </w:tr>
      <w:tr>
        <w:trPr>
          <w:trHeight w:val="339"/>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Optional Redemption</w:t>
            </w: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Prior to December 15, 2034 (the date that is three months prior to the maturity date of the</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bonds (the “Par Call Date”)), we may redeem the bonds at our option, in whole or in part,</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at any time and from time to time, at the redemption price (expressed as a percentage of</w:t>
            </w:r>
          </w:p>
        </w:tc>
      </w:tr>
      <w:tr>
        <w:trPr>
          <w:trHeight w:val="182"/>
        </w:trPr>
        <w:tc>
          <w:tcPr>
            <w:tcW w:w="244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principal amount and rounded to three decimal places) equal to the greater of:</w:t>
            </w:r>
          </w:p>
        </w:tc>
      </w:tr>
      <w:tr>
        <w:trPr>
          <w:trHeight w:val="246"/>
        </w:trPr>
        <w:tc>
          <w:tcPr>
            <w:tcW w:w="2440" w:type="dxa"/>
            <w:vAlign w:val="bottom"/>
            <w:tcBorders>
              <w:left w:val="single" w:sz="8" w:color="auto"/>
            </w:tcBorders>
          </w:tcPr>
          <w:p>
            <w:pPr>
              <w:spacing w:after="0"/>
              <w:rPr>
                <w:sz w:val="21"/>
                <w:szCs w:val="21"/>
                <w:color w:val="auto"/>
              </w:rPr>
            </w:pPr>
          </w:p>
        </w:tc>
        <w:tc>
          <w:tcPr>
            <w:tcW w:w="60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   (a) the sum of the present values of the remaining scheduled payments of principal</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and interest thereon discounted to the redemption date (assuming the bonds matured</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on the Par Call Date) on a semi-annual basis (assuming a 360-day year consisting of</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twelve 30-day months) at the Treasury Rate (as defined herein) plus 15 basis points</w:t>
            </w:r>
          </w:p>
        </w:tc>
      </w:tr>
      <w:tr>
        <w:trPr>
          <w:trHeight w:val="182"/>
        </w:trPr>
        <w:tc>
          <w:tcPr>
            <w:tcW w:w="244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less (b) interest accrued to the redemption date; and</w:t>
            </w:r>
          </w:p>
        </w:tc>
      </w:tr>
      <w:tr>
        <w:trPr>
          <w:trHeight w:val="246"/>
        </w:trPr>
        <w:tc>
          <w:tcPr>
            <w:tcW w:w="2440" w:type="dxa"/>
            <w:vAlign w:val="bottom"/>
            <w:tcBorders>
              <w:left w:val="single" w:sz="8" w:color="auto"/>
            </w:tcBorders>
          </w:tcPr>
          <w:p>
            <w:pPr>
              <w:spacing w:after="0"/>
              <w:rPr>
                <w:sz w:val="21"/>
                <w:szCs w:val="21"/>
                <w:color w:val="auto"/>
              </w:rPr>
            </w:pPr>
          </w:p>
        </w:tc>
        <w:tc>
          <w:tcPr>
            <w:tcW w:w="60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   100% of the principal amount of the bonds to be redeemed, plus, in either case,</w:t>
            </w:r>
          </w:p>
        </w:tc>
      </w:tr>
      <w:tr>
        <w:trPr>
          <w:trHeight w:val="182"/>
        </w:trPr>
        <w:tc>
          <w:tcPr>
            <w:tcW w:w="244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accrued and unpaid interest thereon to, but excluding, the redemption date.</w:t>
            </w:r>
          </w:p>
        </w:tc>
      </w:tr>
      <w:tr>
        <w:trPr>
          <w:trHeight w:val="339"/>
        </w:trPr>
        <w:tc>
          <w:tcPr>
            <w:tcW w:w="2440" w:type="dxa"/>
            <w:vAlign w:val="bottom"/>
            <w:tcBorders>
              <w:left w:val="single" w:sz="8" w:color="auto"/>
            </w:tcBorders>
          </w:tcPr>
          <w:p>
            <w:pPr>
              <w:spacing w:after="0"/>
              <w:rPr>
                <w:sz w:val="24"/>
                <w:szCs w:val="2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On or after the Par Call Date, we may redeem the bonds at our option, in whole or in part,</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at any time and from time to time, at a redemption price equal to 100% of the principal</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amount of the bonds to be redeemed plus accrued and unpaid interest thereon to, but</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excluding, the date of redemption. See “Description of the Bonds—Optional Redemption”</w:t>
            </w:r>
          </w:p>
        </w:tc>
      </w:tr>
      <w:tr>
        <w:trPr>
          <w:trHeight w:val="182"/>
        </w:trPr>
        <w:tc>
          <w:tcPr>
            <w:tcW w:w="244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in this prospectus supplement.</w:t>
            </w:r>
          </w:p>
        </w:tc>
      </w:tr>
      <w:tr>
        <w:trPr>
          <w:trHeight w:val="339"/>
        </w:trPr>
        <w:tc>
          <w:tcPr>
            <w:tcW w:w="2440" w:type="dxa"/>
            <w:vAlign w:val="bottom"/>
            <w:tcBorders>
              <w:left w:val="single" w:sz="8" w:color="auto"/>
            </w:tcBorders>
          </w:tcPr>
          <w:p>
            <w:pPr>
              <w:spacing w:after="0"/>
              <w:rPr>
                <w:sz w:val="24"/>
                <w:szCs w:val="2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A notice of redemption may provide that the optional redemption described in such notice</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is conditioned upon the occurrence of certain events before the redemption date. Such</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notice of conditional redemption will be of no effect unless all such conditions to the</w:t>
            </w:r>
          </w:p>
        </w:tc>
      </w:tr>
      <w:tr>
        <w:trPr>
          <w:trHeight w:val="167"/>
        </w:trPr>
        <w:tc>
          <w:tcPr>
            <w:tcW w:w="244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redemption have occurred before the redemption date or have been waived by us. See</w:t>
            </w:r>
          </w:p>
        </w:tc>
      </w:tr>
      <w:tr>
        <w:trPr>
          <w:trHeight w:val="182"/>
        </w:trPr>
        <w:tc>
          <w:tcPr>
            <w:tcW w:w="244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“Description of the Bonds—Optional Redemption” in this prospectus supplement.</w:t>
            </w:r>
          </w:p>
        </w:tc>
      </w:tr>
      <w:tr>
        <w:trPr>
          <w:trHeight w:val="130"/>
        </w:trPr>
        <w:tc>
          <w:tcPr>
            <w:tcW w:w="2440" w:type="dxa"/>
            <w:vAlign w:val="bottom"/>
            <w:tcBorders>
              <w:left w:val="single" w:sz="8" w:color="auto"/>
              <w:bottom w:val="single" w:sz="8" w:color="auto"/>
            </w:tcBorders>
          </w:tcPr>
          <w:p>
            <w:pPr>
              <w:spacing w:after="0"/>
              <w:rPr>
                <w:sz w:val="11"/>
                <w:szCs w:val="11"/>
                <w:color w:val="auto"/>
              </w:rPr>
            </w:pPr>
          </w:p>
        </w:tc>
        <w:tc>
          <w:tcPr>
            <w:tcW w:w="6080" w:type="dxa"/>
            <w:vAlign w:val="bottom"/>
            <w:tcBorders>
              <w:bottom w:val="single" w:sz="8" w:color="auto"/>
              <w:right w:val="single" w:sz="8" w:color="auto"/>
            </w:tcBorders>
          </w:tcPr>
          <w:p>
            <w:pPr>
              <w:spacing w:after="0"/>
              <w:rPr>
                <w:sz w:val="11"/>
                <w:szCs w:val="11"/>
                <w:color w:val="auto"/>
              </w:rPr>
            </w:pPr>
          </w:p>
        </w:tc>
      </w:tr>
      <w:tr>
        <w:trPr>
          <w:trHeight w:val="277"/>
        </w:trPr>
        <w:tc>
          <w:tcPr>
            <w:tcW w:w="2440" w:type="dxa"/>
            <w:vAlign w:val="bottom"/>
          </w:tcPr>
          <w:p>
            <w:pPr>
              <w:spacing w:after="0"/>
              <w:rPr>
                <w:sz w:val="24"/>
                <w:szCs w:val="24"/>
                <w:color w:val="auto"/>
              </w:rPr>
            </w:pPr>
          </w:p>
        </w:tc>
        <w:tc>
          <w:tcPr>
            <w:tcW w:w="60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S-8</w:t>
            </w:r>
          </w:p>
        </w:tc>
      </w:tr>
    </w:tbl>
    <w:p>
      <w:pPr>
        <w:sectPr>
          <w:pgSz w:w="11900" w:h="16838" w:orient="portrait"/>
          <w:cols w:equalWidth="0" w:num="1">
            <w:col w:w="10159"/>
          </w:cols>
          <w:pgMar w:left="300" w:top="38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292"/>
        </w:trPr>
        <w:tc>
          <w:tcPr>
            <w:tcW w:w="238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614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The net proceeds from this offering, after deducting the underwriting discount and</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estimated expenses of this offering (and not including the amount of pre-issuance accrued</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interest paid by the purchasers of the bonds), are expected to be approximately</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$302.9 million. We intend to use the net proceeds from this offering to repay indebtedness</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incurred under our commercial paper program and for general corporate purposes. As of</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November 14, 2025, we had outstanding $256.8 million of short-term indebtedness under</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our commercial paper program with interest rates ranging from 4.08% to 4.10%. Our</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commercial paper is supported by a revolving credit facility, which we have used in the</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past and, depending on market conditions, may continue to use in the future to fund</w:t>
            </w:r>
          </w:p>
        </w:tc>
      </w:tr>
      <w:tr>
        <w:trPr>
          <w:trHeight w:val="182"/>
        </w:trPr>
        <w:tc>
          <w:tcPr>
            <w:tcW w:w="238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working capital needs. See “Use of Proceeds” in this prospectus supplement.</w:t>
            </w:r>
          </w:p>
        </w:tc>
      </w:tr>
      <w:tr>
        <w:trPr>
          <w:trHeight w:val="339"/>
        </w:trPr>
        <w:tc>
          <w:tcPr>
            <w:tcW w:w="23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Conflicts of Interest</w:t>
            </w: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Certain of the underwriters or their affiliates may hold a portion of our outstanding</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commercial paper that may be repaid using the net proceeds of this offering. In such event,</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it is possible that one or more of the underwriters or their affiliates could receive 5% or</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more of the net proceeds of this offering. In the event of any such conflict of interest, such</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underwriter would be required to conduct the distribution of the bonds in accordance with</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Rule 5121 (Public Offerings of Securities with Conflicts of Interest) of the Financial</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Industry Regulatory Authority, Inc. (“FINRA”). See “Underwriting (Conflicts of Interest)</w:t>
            </w:r>
          </w:p>
        </w:tc>
      </w:tr>
      <w:tr>
        <w:trPr>
          <w:trHeight w:val="182"/>
        </w:trPr>
        <w:tc>
          <w:tcPr>
            <w:tcW w:w="238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—Conflicts of Interest” in this prospectus supplement.</w:t>
            </w:r>
          </w:p>
        </w:tc>
      </w:tr>
      <w:tr>
        <w:trPr>
          <w:trHeight w:val="339"/>
        </w:trPr>
        <w:tc>
          <w:tcPr>
            <w:tcW w:w="23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Risk Factors</w:t>
            </w: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Before deciding to invest in any of the bonds, you should carefully consider all of the</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information set forth under “Risk Factors” beginning on page S-11 of this prospectus</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supplement and page 5 of the accompanying prospectus and other information incorporated</w:t>
            </w:r>
          </w:p>
        </w:tc>
      </w:tr>
      <w:tr>
        <w:trPr>
          <w:trHeight w:val="182"/>
        </w:trPr>
        <w:tc>
          <w:tcPr>
            <w:tcW w:w="238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by reference in this prospectus supplement.</w:t>
            </w:r>
          </w:p>
        </w:tc>
      </w:tr>
      <w:tr>
        <w:trPr>
          <w:trHeight w:val="339"/>
        </w:trPr>
        <w:tc>
          <w:tcPr>
            <w:tcW w:w="23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No Listing of the Bonds</w:t>
            </w: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We do not intend to list the bonds on any securities exchange or seek their quotation on any</w:t>
            </w:r>
          </w:p>
        </w:tc>
      </w:tr>
      <w:tr>
        <w:trPr>
          <w:trHeight w:val="182"/>
        </w:trPr>
        <w:tc>
          <w:tcPr>
            <w:tcW w:w="238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automated dealer quotation system.</w:t>
            </w:r>
          </w:p>
        </w:tc>
      </w:tr>
      <w:tr>
        <w:trPr>
          <w:trHeight w:val="339"/>
        </w:trPr>
        <w:tc>
          <w:tcPr>
            <w:tcW w:w="23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Trustee</w:t>
            </w: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The Bank of New York Mellon Trust Company, N.A. (as successor to Harris Trust and</w:t>
            </w:r>
          </w:p>
        </w:tc>
      </w:tr>
      <w:tr>
        <w:trPr>
          <w:trHeight w:val="182"/>
        </w:trPr>
        <w:tc>
          <w:tcPr>
            <w:tcW w:w="238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Savings Bank)</w:t>
            </w:r>
          </w:p>
        </w:tc>
      </w:tr>
      <w:tr>
        <w:trPr>
          <w:trHeight w:val="130"/>
        </w:trPr>
        <w:tc>
          <w:tcPr>
            <w:tcW w:w="2380" w:type="dxa"/>
            <w:vAlign w:val="bottom"/>
            <w:tcBorders>
              <w:left w:val="single" w:sz="8" w:color="auto"/>
              <w:bottom w:val="single" w:sz="8" w:color="auto"/>
            </w:tcBorders>
          </w:tcPr>
          <w:p>
            <w:pPr>
              <w:spacing w:after="0"/>
              <w:rPr>
                <w:sz w:val="11"/>
                <w:szCs w:val="11"/>
                <w:color w:val="auto"/>
              </w:rPr>
            </w:pPr>
          </w:p>
        </w:tc>
        <w:tc>
          <w:tcPr>
            <w:tcW w:w="6140" w:type="dxa"/>
            <w:vAlign w:val="bottom"/>
            <w:tcBorders>
              <w:bottom w:val="single" w:sz="8" w:color="auto"/>
              <w:right w:val="single" w:sz="8" w:color="auto"/>
            </w:tcBorders>
          </w:tcPr>
          <w:p>
            <w:pPr>
              <w:spacing w:after="0"/>
              <w:rPr>
                <w:sz w:val="11"/>
                <w:szCs w:val="11"/>
                <w:color w:val="auto"/>
              </w:rPr>
            </w:pPr>
          </w:p>
        </w:tc>
      </w:tr>
      <w:tr>
        <w:trPr>
          <w:trHeight w:val="277"/>
        </w:trPr>
        <w:tc>
          <w:tcPr>
            <w:tcW w:w="2380" w:type="dxa"/>
            <w:vAlign w:val="bottom"/>
          </w:tcPr>
          <w:p>
            <w:pPr>
              <w:spacing w:after="0"/>
              <w:rPr>
                <w:sz w:val="24"/>
                <w:szCs w:val="24"/>
                <w:color w:val="auto"/>
              </w:rPr>
            </w:pPr>
          </w:p>
        </w:tc>
        <w:tc>
          <w:tcPr>
            <w:tcW w:w="614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S-9</w:t>
            </w:r>
          </w:p>
        </w:tc>
      </w:tr>
    </w:tbl>
    <w:p>
      <w:pPr>
        <w:sectPr>
          <w:pgSz w:w="11900" w:h="16838" w:orient="portrait"/>
          <w:cols w:equalWidth="0" w:num="1">
            <w:col w:w="10159"/>
          </w:cols>
          <w:pgMar w:left="300" w:top="38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3110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5408295" cy="3110865"/>
                    </a:xfrm>
                    <a:prstGeom prst="rect">
                      <a:avLst/>
                    </a:prstGeom>
                    <a:noFill/>
                  </pic:spPr>
                </pic:pic>
              </a:graphicData>
            </a:graphic>
          </wp:anchor>
        </w:drawing>
      </w:r>
    </w:p>
    <w:p>
      <w:pPr>
        <w:spacing w:after="0" w:line="3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 Consolidated Financial Data</w:t>
      </w:r>
    </w:p>
    <w:p>
      <w:pPr>
        <w:spacing w:after="0" w:line="175" w:lineRule="exact"/>
        <w:rPr>
          <w:sz w:val="20"/>
          <w:szCs w:val="20"/>
          <w:color w:val="auto"/>
        </w:rPr>
      </w:pPr>
    </w:p>
    <w:p>
      <w:pPr>
        <w:ind w:left="1540" w:right="479" w:firstLine="329"/>
        <w:spacing w:after="0" w:line="253" w:lineRule="auto"/>
        <w:rPr>
          <w:sz w:val="20"/>
          <w:szCs w:val="20"/>
          <w:color w:val="auto"/>
        </w:rPr>
      </w:pPr>
      <w:r>
        <w:rPr>
          <w:rFonts w:ascii="Times New Roman" w:cs="Times New Roman" w:eastAsia="Times New Roman" w:hAnsi="Times New Roman"/>
          <w:sz w:val="14"/>
          <w:szCs w:val="14"/>
          <w:color w:val="auto"/>
        </w:rPr>
        <w:t>The following summary of consolidated financial data for the years ended December 31, 2022 through December 31, 2024 has been derived from our audited consolidated financial statements and related notes, incorporated by reference in this prospectus supplement. The following summary of consolidated financial data for each of the nine months ended September 30, 2025 and September 30, 2024 has been derived from our unaudited consolidated financial statements and related notes, incorporated by reference in this prospectus supplement. The information set forth below is qualified in its entirety by reference to, and therefore should be read together with, the relevant management’s discussion and analysis of financial condition and results of operations, financial statements and related notes and other financial information incorporated by reference herein.</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1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gridSpan w:val="11"/>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34"/>
        </w:trPr>
        <w:tc>
          <w:tcPr>
            <w:tcW w:w="1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93"/>
              <w:spacing w:after="0" w:line="105"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92"/>
              <w:spacing w:after="0" w:line="105"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93"/>
              <w:spacing w:after="0" w:line="105"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2"/>
              <w:spacing w:after="0" w:line="105"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52"/>
              <w:spacing w:after="0" w:line="105"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4"/>
          </w:tcPr>
          <w:p>
            <w:pPr>
              <w:jc w:val="right"/>
              <w:ind w:right="140"/>
              <w:spacing w:after="0" w:line="105"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Statement Data:</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revenues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2,328.6</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2,338.0</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3,007.1</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2,698.4</w:t>
            </w:r>
          </w:p>
        </w:tc>
        <w:tc>
          <w:tcPr>
            <w:tcW w:w="1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3,055.9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1,685.2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1,686.7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2,415.9</w:t>
            </w: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income</w:t>
            </w:r>
          </w:p>
        </w:tc>
        <w:tc>
          <w:tcPr>
            <w:tcW w:w="9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0" w:type="dxa"/>
            <w:vAlign w:val="bottom"/>
          </w:tcPr>
          <w:p>
            <w:pPr>
              <w:spacing w:after="0"/>
              <w:rPr>
                <w:sz w:val="12"/>
                <w:szCs w:val="12"/>
                <w:color w:val="auto"/>
              </w:rPr>
            </w:pPr>
          </w:p>
        </w:tc>
        <w:tc>
          <w:tcPr>
            <w:tcW w:w="36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420.9</w:t>
            </w: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attributable to Evergy Kansas Central, Inc.</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1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 Data:</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866.3</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801.6</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1,040.0</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1,017.9</w:t>
            </w:r>
          </w:p>
        </w:tc>
        <w:tc>
          <w:tcPr>
            <w:tcW w:w="1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(928.6)</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7"/>
              </w:rPr>
              <w:t>(1,197.2)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3"/>
              </w:rPr>
              <w:t>(1,317.3)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(902.8)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flows from (used in) financing activities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Financial Data:</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nuclear fuel</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7"/>
              </w:rPr>
              <w:t>(1,274.6)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3"/>
              </w:rPr>
              <w:t>(1,196.8)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(918.9)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6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8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S-10</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3" w:lineRule="exact"/>
        <w:rPr>
          <w:sz w:val="20"/>
          <w:szCs w:val="20"/>
          <w:color w:val="auto"/>
        </w:rPr>
      </w:pPr>
    </w:p>
    <w:p>
      <w:pPr>
        <w:ind w:left="1400" w:right="279" w:firstLine="340"/>
        <w:spacing w:after="0" w:line="255" w:lineRule="auto"/>
        <w:rPr>
          <w:sz w:val="20"/>
          <w:szCs w:val="20"/>
          <w:color w:val="auto"/>
        </w:rPr>
      </w:pPr>
      <w:r>
        <w:rPr>
          <w:rFonts w:ascii="Times New Roman" w:cs="Times New Roman" w:eastAsia="Times New Roman" w:hAnsi="Times New Roman"/>
          <w:sz w:val="14"/>
          <w:szCs w:val="14"/>
          <w:i w:val="1"/>
          <w:iCs w:val="1"/>
          <w:color w:val="auto"/>
        </w:rPr>
        <w:t>An investment in the bonds is subject to various risks. These risks should be considered carefully with the information provided elsewhere and incorporated by reference in this prospectus supplement and the accompanying prospectus before deciding to invest in the bonds. In addition to the risk factors set forth below, please read the information included or incorporated by reference under “Risk Factors” and “Cautionary Statements Regarding Certain Forward-Looking Information” in this prospectus supplement and our Annual Report on Form 10-K for the year ended December 31, 2024 for a description of additional uncertainties associated with our business, results of operations and financial condition and the forward-looking statements included or incorporated by reference in this prospectus supplement and the accompanying prospectus.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Relating to the Bonds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Indebtedness — Our indebtedness could adversely affect our ability to fulfill our obligations under the bonds.</w:t>
      </w:r>
    </w:p>
    <w:p>
      <w:pPr>
        <w:spacing w:after="0" w:line="91"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Our consolidated indebtedness and debt service obligations are significant. Our consolidated interest expense was approximately $229.5 million for the year ended December 31, 2024 and $178.9 million for the nine months ended September 30, 2025. As of September 30, 2025, our total consolidated long-term debt, including current maturities, was approximately $5.2 billion, excluding debt of variable interest entities, contractual obligations and other commitments. We may incur additional short-term and long-term debt from time to time to finance our construction requirements, pension benefit plan funding requirements, dividends to our parent company, working capital or capital expenditures or for other general corporate purposes, subject to the restrictions contained in our master revolving credit agreement that governs our senior unsecured revolving credit facility and in the mortgage, which governs the bonds being issued hereby, and any other agreements under which we incur debt.</w:t>
      </w:r>
    </w:p>
    <w:p>
      <w:pPr>
        <w:spacing w:after="0" w:line="1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debt could have important consequences to holders of the bonds, including the following:</w:t>
      </w:r>
    </w:p>
    <w:p>
      <w:pPr>
        <w:spacing w:after="0" w:line="100" w:lineRule="exact"/>
        <w:rPr>
          <w:sz w:val="20"/>
          <w:szCs w:val="20"/>
          <w:color w:val="auto"/>
        </w:rPr>
      </w:pPr>
    </w:p>
    <w:p>
      <w:pPr>
        <w:ind w:left="2140" w:right="299" w:hanging="333"/>
        <w:spacing w:after="0" w:line="264" w:lineRule="auto"/>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use a substantial portion of our consolidated cash flow from operations to pay principal and interest on our debt, thereby reducing the availability of our consolidated cash flow to fund our construction requirements, pension benefit plan funding requirements, dividends to our parent company, working capital and capital expenditures and for other general corporate purposes;</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prevailing interest rates increase, our interest expense could increase because some of our indebtedness bears interest at floating rates;</w:t>
      </w:r>
    </w:p>
    <w:p>
      <w:pPr>
        <w:spacing w:after="0" w:line="99" w:lineRule="exact"/>
        <w:rPr>
          <w:rFonts w:ascii="Times New Roman" w:cs="Times New Roman" w:eastAsia="Times New Roman" w:hAnsi="Times New Roman"/>
          <w:sz w:val="14"/>
          <w:szCs w:val="14"/>
          <w:color w:val="auto"/>
        </w:rPr>
      </w:pPr>
    </w:p>
    <w:p>
      <w:pPr>
        <w:ind w:left="2140" w:right="659" w:hanging="333"/>
        <w:spacing w:after="0" w:line="279" w:lineRule="auto"/>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leverage increases our vulnerability to economic downturns, and adverse competitive and industry conditions could place us at a competitive disadvantage compared to those of our competitors that are less leveraged; and</w:t>
      </w:r>
    </w:p>
    <w:p>
      <w:pPr>
        <w:spacing w:after="0" w:line="53" w:lineRule="exact"/>
        <w:rPr>
          <w:rFonts w:ascii="Times New Roman" w:cs="Times New Roman" w:eastAsia="Times New Roman" w:hAnsi="Times New Roman"/>
          <w:sz w:val="14"/>
          <w:szCs w:val="14"/>
          <w:color w:val="auto"/>
        </w:rPr>
      </w:pPr>
    </w:p>
    <w:p>
      <w:pPr>
        <w:ind w:left="2140" w:right="339" w:hanging="333"/>
        <w:spacing w:after="0" w:line="264" w:lineRule="auto"/>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debt service obligations could limit our flexibility in planning for, or reacting to, changes in our business and our industry and could limit our ability to pursue other business opportunities, borrow more money for operations or raise capital in the future and implement our business strategies.</w:t>
      </w:r>
    </w:p>
    <w:p>
      <w:pPr>
        <w:spacing w:after="0" w:line="217" w:lineRule="exact"/>
        <w:rPr>
          <w:sz w:val="20"/>
          <w:szCs w:val="20"/>
          <w:color w:val="auto"/>
        </w:rPr>
      </w:pPr>
    </w:p>
    <w:p>
      <w:pPr>
        <w:ind w:left="1400" w:right="819"/>
        <w:spacing w:after="0" w:line="282" w:lineRule="auto"/>
        <w:rPr>
          <w:sz w:val="20"/>
          <w:szCs w:val="20"/>
          <w:color w:val="auto"/>
        </w:rPr>
      </w:pPr>
      <w:r>
        <w:rPr>
          <w:rFonts w:ascii="Times New Roman" w:cs="Times New Roman" w:eastAsia="Times New Roman" w:hAnsi="Times New Roman"/>
          <w:sz w:val="14"/>
          <w:szCs w:val="14"/>
          <w:b w:val="1"/>
          <w:bCs w:val="1"/>
          <w:color w:val="auto"/>
        </w:rPr>
        <w:t>No Guarantees — Our parent company is not guaranteeing the bonds and you should not rely upon information relating to our parent company in determining whether to invest in the bonds.</w:t>
      </w:r>
    </w:p>
    <w:p>
      <w:pPr>
        <w:spacing w:after="0" w:line="4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As described in more detail under “Where You Can Find More Information,” we and our parent company, Evergy, separately file combined annual and quarterly and, at times, combined current reports. However, only the information related to Evergy Kansas Central and its consolidated subsidiaries is incorporated by reference in this prospectus supplement. You should not rely on any information relating solely to Evergy or its subsidiaries (other than Evergy Kansas Central and its subsidiaries) in determining whether to invest in the bonds. The bonds are not guaranteed by Evergy or any of its or our subsidiaries. None of those entities has any obligation to make any capital contribution or distributions or to advance funds to us for the purpose of paying the principal of, or</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4"/>
          <w:szCs w:val="14"/>
          <w:color w:val="auto"/>
        </w:rPr>
        <w:t>premium, if any, or interest on, the bonds or any other amount that may be required to be paid under the mortgage or the bonds, preventing or curing an event of default under the terms of the mortgage, complying with any other obligation under the mortgage or the bonds or otherwise.</w:t>
      </w:r>
    </w:p>
    <w:p>
      <w:pPr>
        <w:spacing w:after="0" w:line="208" w:lineRule="exact"/>
        <w:rPr>
          <w:sz w:val="20"/>
          <w:szCs w:val="20"/>
          <w:color w:val="auto"/>
        </w:rPr>
      </w:pPr>
    </w:p>
    <w:p>
      <w:pPr>
        <w:ind w:left="1400" w:right="399"/>
        <w:spacing w:after="0" w:line="282" w:lineRule="auto"/>
        <w:rPr>
          <w:sz w:val="20"/>
          <w:szCs w:val="20"/>
          <w:color w:val="auto"/>
        </w:rPr>
      </w:pPr>
      <w:r>
        <w:rPr>
          <w:rFonts w:ascii="Times New Roman" w:cs="Times New Roman" w:eastAsia="Times New Roman" w:hAnsi="Times New Roman"/>
          <w:sz w:val="14"/>
          <w:szCs w:val="14"/>
          <w:b w:val="1"/>
          <w:bCs w:val="1"/>
          <w:color w:val="auto"/>
        </w:rPr>
        <w:t>We cannot assure you that there will be an active public market for the bonds, and if a market develops, it may not be liquid and prices of the bonds may vary.</w:t>
      </w:r>
    </w:p>
    <w:p>
      <w:pPr>
        <w:spacing w:after="0" w:line="41"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Although the existing bonds have traded since their issuance on March 13, 2025, a market for our First Mortgage Bonds, 5.25% Series due 2035, including the bonds offered hereby, might not continue to be sustained. We do not intend to list the bonds on any securities exchange or to seek their quotation on any automated dealer quotation system</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We cannot assure holders of the bonds that any liquid market for the bonds will ever develop or be maintained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underwriters have advised us that they currently intend to make a market in the bonds following this offering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However, the underwriters have no obligation to make a market in the bonds and, at their sole discretion, they may stop at any time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Further, there can be no assurance as to the liquidity of any market that may develop for the bonds, holders’ ability to sell their bonds or the price at which holders will be able to sell their bonds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Future trading prices of the bonds will depend on many factors, including prevailing interest rates (which have fluctuated in the past and are likely to fluctuate in the future), our financial condition and results of operations, the then-current ratings assigned to the bonds and the market for similar securities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Any trading market that develops would be affected by many factors independent of and in addition to the foregoing, including:</w:t>
      </w:r>
    </w:p>
    <w:p>
      <w:pPr>
        <w:spacing w:after="0" w:line="74" w:lineRule="exact"/>
        <w:rPr>
          <w:sz w:val="20"/>
          <w:szCs w:val="20"/>
          <w:color w:val="auto"/>
        </w:rPr>
      </w:pPr>
    </w:p>
    <w:p>
      <w:pPr>
        <w:ind w:left="2140" w:hanging="33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remaining to the maturity of the bonds;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amount of the bonds;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related to optional redemption of the bonds;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direction and volatility of market interest rates generally.</w:t>
      </w:r>
    </w:p>
    <w:p>
      <w:pPr>
        <w:spacing w:after="0" w:line="254" w:lineRule="exact"/>
        <w:rPr>
          <w:sz w:val="20"/>
          <w:szCs w:val="20"/>
          <w:color w:val="auto"/>
        </w:rPr>
      </w:pPr>
    </w:p>
    <w:p>
      <w:pPr>
        <w:ind w:left="1400" w:right="359"/>
        <w:spacing w:after="0" w:line="282" w:lineRule="auto"/>
        <w:rPr>
          <w:sz w:val="20"/>
          <w:szCs w:val="20"/>
          <w:color w:val="auto"/>
        </w:rPr>
      </w:pPr>
      <w:r>
        <w:rPr>
          <w:rFonts w:ascii="Times New Roman" w:cs="Times New Roman" w:eastAsia="Times New Roman" w:hAnsi="Times New Roman"/>
          <w:sz w:val="14"/>
          <w:szCs w:val="14"/>
          <w:b w:val="1"/>
          <w:bCs w:val="1"/>
          <w:color w:val="auto"/>
        </w:rPr>
        <w:t>Our credit ratings and ratings on the bonds may be decreased, suspended or withdrawn and may not reflect all risks of your investment in the bonds.</w:t>
      </w:r>
    </w:p>
    <w:p>
      <w:pPr>
        <w:spacing w:after="0" w:line="41"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Evergy Kansas Central and certain of its securities are rated by Moody’s Investors Service, Inc. and S&amp;P Global Ratings. There is no assurance that such credit ratings will be issued or remain in effect for any given period of time or that such ratings will not be decreased, suspended or withdrawn entirely by the rating agencies, if, in each rating agency’s judgment, circumstances so warrant. Evergy Kansas Central’s credit ratings could decrease as a result of events directly affecting Evergy and its subsidiaries (other than Evergy Kansas Central and its subsidiaries), even though Evergy is not guaranteeing the bonds and is not generally obligated to provide credit support to us. Holders of bonds will have no recourse against us or any other parties in the event of a change in or suspension or withdrawal of such ratings. Any decrease, suspension or withdrawal of such ratings may have an adverse effect on the market price or marketability of debt securities issued by us, including the bonds.</w:t>
      </w:r>
    </w:p>
    <w:p>
      <w:pPr>
        <w:spacing w:after="0" w:line="147" w:lineRule="exact"/>
        <w:rPr>
          <w:sz w:val="20"/>
          <w:szCs w:val="20"/>
          <w:color w:val="auto"/>
        </w:rPr>
      </w:pPr>
    </w:p>
    <w:p>
      <w:pPr>
        <w:ind w:left="1400" w:right="379" w:firstLine="340"/>
        <w:spacing w:after="0" w:line="285" w:lineRule="auto"/>
        <w:rPr>
          <w:sz w:val="20"/>
          <w:szCs w:val="20"/>
          <w:color w:val="auto"/>
        </w:rPr>
      </w:pPr>
      <w:r>
        <w:rPr>
          <w:rFonts w:ascii="Times New Roman" w:cs="Times New Roman" w:eastAsia="Times New Roman" w:hAnsi="Times New Roman"/>
          <w:sz w:val="13"/>
          <w:szCs w:val="13"/>
          <w:color w:val="auto"/>
        </w:rPr>
        <w:t>Evergy Kansas Central’s credit ratings are an assessment by rating agencies of our ability to pay our debts when due. Consequently, real or anticipated changes in our credit ratings will generally affect the market value of the bonds. These credit ratings may not reflect the potential impact of risks relating to the terms or market for the bonds. Credit ratings are not a recommendation to buy, sell or hold any security, and may be revised or withdrawn at any time by the issuing organization. Each rating agency’s rating should be evaluated independently of any other rating agency’s rating.</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5" w:lineRule="exact"/>
        <w:rPr>
          <w:sz w:val="20"/>
          <w:szCs w:val="20"/>
          <w:color w:val="auto"/>
        </w:rPr>
      </w:pPr>
    </w:p>
    <w:p>
      <w:pPr>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The net proceeds from this offering, after deducting the underwriting discount and estimated expenses payable by us (and not including the amount of pre-issuance accrued interest paid by the purchasers of the bonds), will be approximately $302.9 million. We intend to use the net proceeds from this offering to repay indebtedness incurred under our commercial paper program and for general corporate purposes.</w:t>
      </w:r>
    </w:p>
    <w:p>
      <w:pPr>
        <w:spacing w:after="0" w:line="136" w:lineRule="exact"/>
        <w:rPr>
          <w:sz w:val="20"/>
          <w:szCs w:val="20"/>
          <w:color w:val="auto"/>
        </w:rPr>
      </w:pPr>
    </w:p>
    <w:p>
      <w:pPr>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As of November 14, 2025, we had outstanding $256.8 million of short-term indebtedness under our commercial paper program with interest rates ranging from 4.08% to 4.10%. Our commercial paper is supported by a revolving credit facility, which we have used in the past and, depending on market conditions, may continue to use in the future to fund working capital needs.</w:t>
      </w:r>
    </w:p>
    <w:p>
      <w:pPr>
        <w:spacing w:after="0" w:line="136" w:lineRule="exact"/>
        <w:rPr>
          <w:sz w:val="20"/>
          <w:szCs w:val="20"/>
          <w:color w:val="auto"/>
        </w:rPr>
      </w:pPr>
    </w:p>
    <w:p>
      <w:pPr>
        <w:ind w:left="1400" w:right="359" w:firstLine="340"/>
        <w:spacing w:after="0" w:line="279" w:lineRule="auto"/>
        <w:rPr>
          <w:sz w:val="20"/>
          <w:szCs w:val="20"/>
          <w:color w:val="auto"/>
        </w:rPr>
      </w:pPr>
      <w:r>
        <w:rPr>
          <w:rFonts w:ascii="Times New Roman" w:cs="Times New Roman" w:eastAsia="Times New Roman" w:hAnsi="Times New Roman"/>
          <w:sz w:val="14"/>
          <w:szCs w:val="14"/>
          <w:color w:val="auto"/>
        </w:rPr>
        <w:t>A portion of the net proceeds may be invested temporarily in short-term interest-bearing accounts, securities or similar investments until they are used for their intended purposes.</w:t>
      </w:r>
    </w:p>
    <w:p>
      <w:pPr>
        <w:spacing w:after="0" w:line="126" w:lineRule="exact"/>
        <w:rPr>
          <w:sz w:val="20"/>
          <w:szCs w:val="20"/>
          <w:color w:val="auto"/>
        </w:rPr>
      </w:pPr>
    </w:p>
    <w:p>
      <w:pPr>
        <w:ind w:left="1400" w:right="279" w:firstLine="340"/>
        <w:spacing w:after="0" w:line="279" w:lineRule="auto"/>
        <w:rPr>
          <w:sz w:val="20"/>
          <w:szCs w:val="20"/>
          <w:color w:val="auto"/>
        </w:rPr>
      </w:pPr>
      <w:r>
        <w:rPr>
          <w:rFonts w:ascii="Times New Roman" w:cs="Times New Roman" w:eastAsia="Times New Roman" w:hAnsi="Times New Roman"/>
          <w:sz w:val="14"/>
          <w:szCs w:val="14"/>
          <w:color w:val="auto"/>
        </w:rPr>
        <w:t>Certain of the underwriters or their affiliates may own some of our outstanding commercial paper, the repayment of which would be funded with a portion of the net proceeds from the sale of the bonds. See “Underwriting (Conflicts of Interest)—Conflicts of Interest.”</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THE BONDS</w:t>
      </w:r>
    </w:p>
    <w:p>
      <w:pPr>
        <w:spacing w:after="0" w:line="175"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We are offering $300,000,000 aggregate principal amount of our First Mortgage Bonds, 5.25% Series due 2035 (the “bonds”), which will mature on March 15, 2035. The bonds will constitute an additional issuance of our First Mortgage Bonds, 5.25% Series due 2035 issued on March 13, 2025 in an aggregate principal amount of $300,000,000 (the “existing bonds”) and will form a single series of securities with the existing bonds issued and secured by the Mortgage and Deed of Trust, dated as of July 1, 1939, between us and The Bank of New York Mellon Trust Company, N.A. (as successor to Harris Trust and Savings Bank), as trustee (the “trustee”), as supplemented and amended (the “mortgage”), including by the Fifty-Third Supplemental Indenture, dated as of March 13, 2025, which established the terms of the existing bonds, and the Fifty-Fourth Supplemental Indenture, dated as of November 25, 2025, which is described under “—Amendments to Mortgage” below, and as to be further supplemented by a new supplemental (reopening) indenture with respect to the bonds. The terms of the bonds include those stated in the mortgage and those made part of the mortgage by reference to the Trust Indenture Act of 1939, as amended. The mortgage provides that we will have the ability to issue securities with terms different from those of the bonds. Copies of the mortgage and the form of bonds are available from us upon request.</w:t>
      </w:r>
    </w:p>
    <w:p>
      <w:pPr>
        <w:spacing w:after="0" w:line="145"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The following, along with the additional information contained in the accompanying prospectus under “Description of First Mortgage Bonds” (except to the extent described under “—Amendments to Mortgage” below) is a summary of the material provisions of the mortgage and the bonds. Because this is a summary, it may not contain all the information that is important to you. For further information, you should read the mortgage and the bonds. As used in this section of this prospectus supplement, the terms “we,” “us” and “our” refer solely to Evergy Kansas Central, Inc., and such references do not include any subsidiary of Evergy Kansas Central, Inc.</w:t>
      </w:r>
    </w:p>
    <w:p>
      <w:pPr>
        <w:spacing w:after="0" w:line="142"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The bonds will have terms identical to the existing bonds, other than the date of issuance, the first interest accrual date, the first interest payment date and the initial price to the public, will have same CUSIP number and will trade interchangeably with the existing bonds immediately upon settlement. Upon the issuance of the bonds, the aggregate principal amount of outstanding bonds of its series (including the existing bonds) will be $600,000,000.</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Basic Terms of the Bonds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bonds:</w:t>
      </w:r>
    </w:p>
    <w:p>
      <w:pPr>
        <w:spacing w:after="0" w:line="100" w:lineRule="exact"/>
        <w:rPr>
          <w:sz w:val="20"/>
          <w:szCs w:val="20"/>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secured equally and ratably with all other bonds outstanding or hereafter issued under our mortgage;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issued in an initial aggregate principal amount of $300,000,000;</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mature on March 15, 2035, with interest payable semi-annually in arrears on each March 15 and September 15, beginning on</w:t>
      </w:r>
    </w:p>
    <w:p>
      <w:pPr>
        <w:spacing w:after="0" w:line="20" w:lineRule="exact"/>
        <w:rPr>
          <w:rFonts w:ascii="Times New Roman" w:cs="Times New Roman" w:eastAsia="Times New Roman" w:hAnsi="Times New Roman"/>
          <w:sz w:val="14"/>
          <w:szCs w:val="14"/>
          <w:color w:val="auto"/>
        </w:rPr>
      </w:pPr>
    </w:p>
    <w:p>
      <w:pPr>
        <w:ind w:left="2140" w:right="27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March 15, 2026, to the persons in whose names the bonds are registered at the close of business on the record date for the interest payment date, which will be the close of business on (i) the Business Day (as defined in the mortgage) immediately preceding such interest payment date so long as all of the bonds remain in book-entry only form or (ii) the fifteenth calendar day immediately preceding each interest payment date if any of the bonds do not remain in book-entry only form; and</w:t>
      </w:r>
    </w:p>
    <w:p>
      <w:pPr>
        <w:spacing w:after="0" w:line="72"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issuable in fully-registered book-entry form, in denominations of $2,000 and in multiples of $1,000 in excess thereof.</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1"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The bonds will be our secured obligations, equal in right of payment to all other debt currently outstanding or hereafter issued under the mortgage. The mortgage prohibits us from incurring other debt senior or equal to the bonds offered hereby unless certain tests are met. The bonds will be structurally subordinated to the debt of our subsidiaries.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819" w:firstLine="340"/>
        <w:spacing w:after="0" w:line="293" w:lineRule="auto"/>
        <w:rPr>
          <w:sz w:val="20"/>
          <w:szCs w:val="20"/>
          <w:color w:val="auto"/>
        </w:rPr>
      </w:pPr>
      <w:r>
        <w:rPr>
          <w:rFonts w:ascii="Times New Roman" w:cs="Times New Roman" w:eastAsia="Times New Roman" w:hAnsi="Times New Roman"/>
          <w:sz w:val="13"/>
          <w:szCs w:val="13"/>
          <w:color w:val="auto"/>
        </w:rPr>
        <w:t>As of September 30, 2025, after giving effect to this offering, we would have had total indebtedness on our consolidated balance sheet of approximately $5.7 billion (excluding intracompany debt, trade payables and debt of variable interest entities). Of this amount, approximately $836.4 million would have been structurally senior to the bonds because our subsidiaries are the obligors under such indebtedness.</w:t>
      </w:r>
    </w:p>
    <w:p>
      <w:pPr>
        <w:spacing w:after="0" w:line="2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Interest Payments</w:t>
      </w:r>
    </w:p>
    <w:p>
      <w:pPr>
        <w:spacing w:after="0" w:line="91" w:lineRule="exact"/>
        <w:rPr>
          <w:sz w:val="20"/>
          <w:szCs w:val="20"/>
          <w:color w:val="auto"/>
        </w:rPr>
      </w:pPr>
    </w:p>
    <w:p>
      <w:pPr>
        <w:ind w:left="1400" w:right="359" w:firstLine="340"/>
        <w:spacing w:after="0" w:line="280" w:lineRule="auto"/>
        <w:rPr>
          <w:sz w:val="20"/>
          <w:szCs w:val="20"/>
          <w:color w:val="auto"/>
        </w:rPr>
      </w:pPr>
      <w:r>
        <w:rPr>
          <w:rFonts w:ascii="Times New Roman" w:cs="Times New Roman" w:eastAsia="Times New Roman" w:hAnsi="Times New Roman"/>
          <w:sz w:val="13"/>
          <w:szCs w:val="13"/>
          <w:color w:val="auto"/>
        </w:rPr>
        <w:t>Interest on the bonds will be computed on the basis of a 360-day year consisting of twelve 30-day months. Interest on the bonds will accrue from September 15, 2025 (which is the most recent date to which interest has been paid on the existing bonds) and, thereafter, from each interest payment date on which interest has been paid and will be payable semi-annually on the interest payment dates described above. If any date on which interest is payable on the bonds is not a Business Day, then payment of the interest payable on such date will be made on the next succeeding day which is a Business Day (and without any interest or other payment in respect of any such delay), with the same force and effect as if made on such date.</w:t>
      </w:r>
    </w:p>
    <w:p>
      <w:pPr>
        <w:spacing w:after="0" w:line="1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For more information on payment and transfer procedures for the bonds, see “— Book-Entry System” below.</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1" w:lineRule="exact"/>
        <w:rPr>
          <w:sz w:val="20"/>
          <w:szCs w:val="20"/>
          <w:color w:val="auto"/>
        </w:rPr>
      </w:pPr>
    </w:p>
    <w:p>
      <w:pPr>
        <w:jc w:val="both"/>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Prior to December 15, 2034 (the date that is three months prior to the maturity date of the bonds (the “Par Call Date”)), we may redeem the bonds at our option, in whole or in part, at any time and from time to time, at a redemption price (expressed as a percentage of principal amount and rounded to three decimal places) equal to the greater of:</w:t>
      </w:r>
    </w:p>
    <w:p>
      <w:pPr>
        <w:spacing w:after="0" w:line="63" w:lineRule="exact"/>
        <w:rPr>
          <w:sz w:val="20"/>
          <w:szCs w:val="20"/>
          <w:color w:val="auto"/>
        </w:rPr>
      </w:pPr>
    </w:p>
    <w:p>
      <w:pPr>
        <w:jc w:val="both"/>
        <w:ind w:left="2140" w:right="359" w:hanging="333"/>
        <w:spacing w:after="0" w:line="264" w:lineRule="auto"/>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bonds matured on the Par Call Date) on a semi-annual basis (assuming a 360-day year consisting of twelve 30-day months) at the Treasury Rate applicable to the bonds plus 15 basis points less (b) interest accrued to the redemption date; and</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bonds to be redeemed,</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to, but excluding, the redemption date.</w:t>
      </w:r>
    </w:p>
    <w:p>
      <w:pPr>
        <w:spacing w:after="0" w:line="173" w:lineRule="exact"/>
        <w:rPr>
          <w:sz w:val="20"/>
          <w:szCs w:val="20"/>
          <w:color w:val="auto"/>
        </w:rPr>
      </w:pPr>
    </w:p>
    <w:p>
      <w:pPr>
        <w:ind w:left="1400" w:right="299" w:firstLine="340"/>
        <w:spacing w:after="0" w:line="319" w:lineRule="auto"/>
        <w:rPr>
          <w:sz w:val="20"/>
          <w:szCs w:val="20"/>
          <w:color w:val="auto"/>
        </w:rPr>
      </w:pPr>
      <w:r>
        <w:rPr>
          <w:rFonts w:ascii="Times New Roman" w:cs="Times New Roman" w:eastAsia="Times New Roman" w:hAnsi="Times New Roman"/>
          <w:sz w:val="13"/>
          <w:szCs w:val="13"/>
          <w:color w:val="auto"/>
        </w:rPr>
        <w:t>On or after the Par Call Date, we may redeem the bonds at our option, in whole or in part, at any time and from time to time, at a redemption price equal to 100% of the principal amount of the bonds to be redeemed, plus accrued and unpaid interest thereon to, but excluding, the redemption date.</w:t>
      </w:r>
    </w:p>
    <w:p>
      <w:pPr>
        <w:spacing w:after="0" w:line="10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For purposes of the optional redemption provisions, the following term has the following meaning:</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“Treasury Rate” means, with respect to any redemption date, the yield determined by us in accordance with the following two paragraphs.</w:t>
      </w:r>
    </w:p>
    <w:p>
      <w:pPr>
        <w:spacing w:after="0" w:line="173"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 — Nominal” (or any successor caption or heading) (“H.15 TCM”). In determining the Treasury Rate, we shall select, as applicable:</w:t>
      </w:r>
    </w:p>
    <w:p>
      <w:pPr>
        <w:spacing w:after="0" w:line="72" w:lineRule="exact"/>
        <w:rPr>
          <w:sz w:val="20"/>
          <w:szCs w:val="20"/>
          <w:color w:val="auto"/>
        </w:rPr>
      </w:pPr>
    </w:p>
    <w:p>
      <w:pPr>
        <w:ind w:left="2140" w:right="799" w:hanging="333"/>
        <w:spacing w:after="0" w:line="27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yield for the Treasury constant maturity on H.15 exactly equal to the period from the redemption date to the Par Call Date (the “Remaining Life”); or</w:t>
      </w:r>
    </w:p>
    <w:p>
      <w:pPr>
        <w:spacing w:after="0" w:line="53" w:lineRule="exact"/>
        <w:rPr>
          <w:rFonts w:ascii="Times New Roman" w:cs="Times New Roman" w:eastAsia="Times New Roman" w:hAnsi="Times New Roman"/>
          <w:sz w:val="14"/>
          <w:szCs w:val="14"/>
          <w:color w:val="auto"/>
        </w:rPr>
      </w:pPr>
    </w:p>
    <w:p>
      <w:pPr>
        <w:ind w:left="2140" w:right="319" w:hanging="333"/>
        <w:spacing w:after="0" w:line="27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no such Treasury constant maturity on H.15 exactly equal to the Remaining Life, the two yields—one yield corresponding to the Treasury constant maturity on H.15 immediately shorter than</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2160" w:right="299"/>
        <w:spacing w:after="0" w:line="264" w:lineRule="auto"/>
        <w:rPr>
          <w:sz w:val="20"/>
          <w:szCs w:val="20"/>
          <w:color w:val="auto"/>
        </w:rPr>
      </w:pPr>
      <w:r>
        <w:rPr>
          <w:rFonts w:ascii="Times New Roman" w:cs="Times New Roman" w:eastAsia="Times New Roman" w:hAnsi="Times New Roman"/>
          <w:sz w:val="14"/>
          <w:szCs w:val="14"/>
          <w:color w:val="auto"/>
        </w:rPr>
        <w:t>and one yield corresponding to the Treasury constant maturity on H.15 immediately longer than the Remaining Life—and shall interpolate to the Par Call Date on a straight-line basis (using the actual number of days) using such yields and rounding the result to three decimal places; or</w:t>
      </w:r>
    </w:p>
    <w:p>
      <w:pPr>
        <w:spacing w:after="0" w:line="63" w:lineRule="exact"/>
        <w:rPr>
          <w:sz w:val="20"/>
          <w:szCs w:val="20"/>
          <w:color w:val="auto"/>
        </w:rPr>
      </w:pPr>
    </w:p>
    <w:p>
      <w:pPr>
        <w:ind w:left="2140" w:right="559" w:hanging="333"/>
        <w:spacing w:after="0" w:line="259" w:lineRule="auto"/>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w:t>
      </w:r>
    </w:p>
    <w:p>
      <w:pPr>
        <w:spacing w:after="0" w:line="139" w:lineRule="exact"/>
        <w:rPr>
          <w:sz w:val="20"/>
          <w:szCs w:val="20"/>
          <w:color w:val="auto"/>
        </w:rPr>
      </w:pPr>
    </w:p>
    <w:p>
      <w:pPr>
        <w:ind w:left="1400" w:right="319" w:firstLine="340"/>
        <w:spacing w:after="0" w:line="251" w:lineRule="auto"/>
        <w:rPr>
          <w:sz w:val="20"/>
          <w:szCs w:val="20"/>
          <w:color w:val="auto"/>
        </w:rPr>
      </w:pPr>
      <w:r>
        <w:rPr>
          <w:rFonts w:ascii="Times New Roman" w:cs="Times New Roman" w:eastAsia="Times New Roman" w:hAnsi="Times New Roman"/>
          <w:sz w:val="14"/>
          <w:szCs w:val="14"/>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trustee shall have no obligation or duty whatsoever to determine, or to verify our calculations of, the redemption price.</w:t>
      </w:r>
    </w:p>
    <w:p>
      <w:pPr>
        <w:spacing w:after="0" w:line="173" w:lineRule="exact"/>
        <w:rPr>
          <w:sz w:val="20"/>
          <w:szCs w:val="20"/>
          <w:color w:val="auto"/>
        </w:rPr>
      </w:pPr>
    </w:p>
    <w:p>
      <w:pPr>
        <w:ind w:left="1400" w:right="619" w:firstLine="340"/>
        <w:spacing w:after="0" w:line="279" w:lineRule="auto"/>
        <w:rPr>
          <w:sz w:val="20"/>
          <w:szCs w:val="20"/>
          <w:color w:val="auto"/>
        </w:rPr>
      </w:pPr>
      <w:r>
        <w:rPr>
          <w:rFonts w:ascii="Times New Roman" w:cs="Times New Roman" w:eastAsia="Times New Roman" w:hAnsi="Times New Roman"/>
          <w:sz w:val="14"/>
          <w:szCs w:val="14"/>
          <w:color w:val="auto"/>
        </w:rPr>
        <w:t>We will send notice of any redemption at least 10 days but not more than 60 days before the redemption date to each registered holder of the bonds to be redeemed.</w:t>
      </w:r>
    </w:p>
    <w:p>
      <w:pPr>
        <w:spacing w:after="0" w:line="126" w:lineRule="exact"/>
        <w:rPr>
          <w:sz w:val="20"/>
          <w:szCs w:val="20"/>
          <w:color w:val="auto"/>
        </w:rPr>
      </w:pPr>
    </w:p>
    <w:p>
      <w:pPr>
        <w:ind w:left="1400" w:right="439" w:firstLine="340"/>
        <w:spacing w:after="0" w:line="279" w:lineRule="auto"/>
        <w:rPr>
          <w:sz w:val="20"/>
          <w:szCs w:val="20"/>
          <w:color w:val="auto"/>
        </w:rPr>
      </w:pPr>
      <w:r>
        <w:rPr>
          <w:rFonts w:ascii="Times New Roman" w:cs="Times New Roman" w:eastAsia="Times New Roman" w:hAnsi="Times New Roman"/>
          <w:sz w:val="14"/>
          <w:szCs w:val="14"/>
          <w:color w:val="auto"/>
        </w:rPr>
        <w:t>Unless we default in payment of the redemption price, on and after the redemption date, interest will cease to accrue on the bonds or portions of the bonds called for redemption.</w:t>
      </w:r>
    </w:p>
    <w:p>
      <w:pPr>
        <w:spacing w:after="0" w:line="126"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Notwithstanding the foregoing, installments of interest on bonds that are due and payable on interest payment dates falling on or prior to a redemption date will be payable on the interest payment date to the registered holders as of the close of business on the relevant record date according to the bonds and the mortgage.</w:t>
      </w:r>
    </w:p>
    <w:p>
      <w:pPr>
        <w:spacing w:after="0" w:line="136"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Any notice to holders of the bonds of a redemption shall state, among other things, the redemption price and date. 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us. If any of these events fail to occur and are not waived by us, we will be under no obligation to redeem the bonds or pay the holders any redemption proceeds and our failure to so redeem the bonds will not be considered a default or event of default under the mortgage. In the event that any of these conditions fail to occur or are not waived by us, we will promptly notify the trustee in writing that the conditions precedent to such redemption have failed to occur and the bonds will not be redeemed.</w:t>
      </w:r>
    </w:p>
    <w:p>
      <w:pPr>
        <w:spacing w:after="0" w:line="147"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If we redeem less than all of the outstanding bonds, the bonds to be redeemed will be selected in accordance with the policies and procedures of The Depository Trust Company (or any successor depositary thereto)</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99"/>
        <w:spacing w:after="0" w:line="279" w:lineRule="auto"/>
        <w:rPr>
          <w:sz w:val="20"/>
          <w:szCs w:val="20"/>
          <w:color w:val="auto"/>
        </w:rPr>
      </w:pPr>
      <w:r>
        <w:rPr>
          <w:rFonts w:ascii="Times New Roman" w:cs="Times New Roman" w:eastAsia="Times New Roman" w:hAnsi="Times New Roman"/>
          <w:sz w:val="14"/>
          <w:szCs w:val="14"/>
          <w:color w:val="auto"/>
        </w:rPr>
        <w:t>(“DTC”), provided that in the event the bonds are no longer held in global form through DTC, the bonds to be redeemed will be selected by the trustee by lot. We will not be responsible for giving notice of a redemption of the bonds to anyone other than DTC.</w:t>
      </w:r>
    </w:p>
    <w:p>
      <w:pPr>
        <w:spacing w:after="0" w:line="126" w:lineRule="exact"/>
        <w:rPr>
          <w:sz w:val="20"/>
          <w:szCs w:val="20"/>
          <w:color w:val="auto"/>
        </w:rPr>
      </w:pPr>
    </w:p>
    <w:p>
      <w:pPr>
        <w:ind w:left="1400" w:right="279" w:firstLine="340"/>
        <w:spacing w:after="0" w:line="279" w:lineRule="auto"/>
        <w:rPr>
          <w:sz w:val="20"/>
          <w:szCs w:val="20"/>
          <w:color w:val="auto"/>
        </w:rPr>
      </w:pPr>
      <w:r>
        <w:rPr>
          <w:rFonts w:ascii="Times New Roman" w:cs="Times New Roman" w:eastAsia="Times New Roman" w:hAnsi="Times New Roman"/>
          <w:sz w:val="14"/>
          <w:szCs w:val="14"/>
          <w:color w:val="auto"/>
        </w:rPr>
        <w:t>Subject to the foregoing and to applicable law (including, without limitation, United States federal securities laws), we or our affiliates may, at any time and from time to time, purchase outstanding bonds by tender, in the open market or by private agreement.</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 Mandatory Redemption or Sinking Fund</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There will be no mandatory redemption prior to maturity or sinking fund payments for the bonds.</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Reopening of Bond Series</w:t>
      </w:r>
    </w:p>
    <w:p>
      <w:pPr>
        <w:spacing w:after="0" w:line="91"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We may, without the consent of the holders of the bonds offered hereby, issue additional bonds ranking equally with the bonds of any series under the mortgage then outstanding, including the bonds offered hereby, having dates, maturities, interest rates, redemption prices and other terms as our board of directors may determine only if certain conditions in the mortgage are satisfied. See “—Amendments to Mortgage—Issuance of Additional Bonds” below.</w:t>
      </w:r>
    </w:p>
    <w:p>
      <w:pPr>
        <w:spacing w:after="0" w:line="139" w:lineRule="exact"/>
        <w:rPr>
          <w:sz w:val="20"/>
          <w:szCs w:val="20"/>
          <w:color w:val="auto"/>
        </w:rPr>
      </w:pPr>
    </w:p>
    <w:p>
      <w:pPr>
        <w:ind w:left="1400" w:right="439" w:firstLine="340"/>
        <w:spacing w:after="0" w:line="276" w:lineRule="auto"/>
        <w:rPr>
          <w:sz w:val="20"/>
          <w:szCs w:val="20"/>
          <w:color w:val="auto"/>
        </w:rPr>
      </w:pPr>
      <w:r>
        <w:rPr>
          <w:rFonts w:ascii="Times New Roman" w:cs="Times New Roman" w:eastAsia="Times New Roman" w:hAnsi="Times New Roman"/>
          <w:sz w:val="13"/>
          <w:szCs w:val="13"/>
          <w:color w:val="auto"/>
        </w:rPr>
        <w:t>Subject to the limits contained in the mortgage, we may, from time to time, at our option and without the consent of any holder of the bonds offered hereby, reopen this series for the issuance of additional first mortgage bonds, on the same terms and conditions (other than the issue date, the date and amount of the first interest payment, the issue price and any other changes required by law), in each case, as the bonds being offered by this prospectus supplement. We do not plan to inform the existing holders if we reopen a series of first mortgage bonds to issue and sell additional first mortgage bonds of such series in the future. Additional first mortgage bonds issued in this way will be consolidated with and form a single series with the series of bonds being offered by this prospectus supplement, provided that if any such additional first mortgage bonds are not fungible for U.S. federal income tax purposes with the bonds offered hereby, such additional first mortgage bonds will be issued under a separate CUSIP number.</w:t>
      </w:r>
    </w:p>
    <w:p>
      <w:pPr>
        <w:spacing w:after="0" w:line="131" w:lineRule="exact"/>
        <w:rPr>
          <w:sz w:val="20"/>
          <w:szCs w:val="20"/>
          <w:color w:val="auto"/>
        </w:rPr>
      </w:pPr>
    </w:p>
    <w:p>
      <w:pPr>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As of September 30, 2025, approximately $2.2 billion principal amount of additional first mortgage bonds could be issued under the most restrictive provisions of the mortgage, without giving effect to the issuance of the bonds offered hereby and the use of proceeds described under “Use of Proceeds” in this prospectus supplement.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Amendments to Mortgage</w:t>
      </w:r>
    </w:p>
    <w:p>
      <w:pPr>
        <w:spacing w:after="0" w:line="91" w:lineRule="exact"/>
        <w:rPr>
          <w:sz w:val="20"/>
          <w:szCs w:val="20"/>
          <w:color w:val="auto"/>
        </w:rPr>
      </w:pPr>
    </w:p>
    <w:p>
      <w:pPr>
        <w:ind w:left="1400" w:right="579" w:firstLine="340"/>
        <w:spacing w:after="0" w:line="279" w:lineRule="auto"/>
        <w:rPr>
          <w:sz w:val="20"/>
          <w:szCs w:val="20"/>
          <w:color w:val="auto"/>
        </w:rPr>
      </w:pPr>
      <w:r>
        <w:rPr>
          <w:rFonts w:ascii="Times New Roman" w:cs="Times New Roman" w:eastAsia="Times New Roman" w:hAnsi="Times New Roman"/>
          <w:sz w:val="14"/>
          <w:szCs w:val="14"/>
          <w:color w:val="auto"/>
        </w:rPr>
        <w:t>Pursuant to the Fifty-Fourth Supplemental Indenture to the mortgage, dated as of November 25, 2025, between us and the trustee (the “Fifty-Fourth Supplemental Indenture”), certain amendments to the mortgage were effectuated (the “Mortgage Amendments”).</w:t>
      </w:r>
    </w:p>
    <w:p>
      <w:pPr>
        <w:spacing w:after="0" w:line="126"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The Mortgage Amendments are generally described under “Description of First Mortgage Bonds” in the accompanying prospectus, including in the third and fourth paragraphs (other than, with some exceptions, clause (5) of the fourth paragraph) under “—Modification of the Mortgage” therein. As a result of the Mortgage Amendments, the three sections set forth below replace and supersede in their entireties the corresponding sections in the accompanying prospectus.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Issuance of Additional Bonds</w:t>
      </w:r>
    </w:p>
    <w:p>
      <w:pPr>
        <w:spacing w:after="0" w:line="91" w:lineRule="exact"/>
        <w:rPr>
          <w:sz w:val="20"/>
          <w:szCs w:val="20"/>
          <w:color w:val="auto"/>
        </w:rPr>
      </w:pPr>
    </w:p>
    <w:p>
      <w:pPr>
        <w:ind w:left="1400" w:right="499" w:firstLine="340"/>
        <w:spacing w:after="0" w:line="264" w:lineRule="auto"/>
        <w:rPr>
          <w:sz w:val="20"/>
          <w:szCs w:val="20"/>
          <w:color w:val="auto"/>
        </w:rPr>
      </w:pPr>
      <w:r>
        <w:rPr>
          <w:rFonts w:ascii="Times New Roman" w:cs="Times New Roman" w:eastAsia="Times New Roman" w:hAnsi="Times New Roman"/>
          <w:sz w:val="14"/>
          <w:szCs w:val="14"/>
          <w:color w:val="auto"/>
        </w:rPr>
        <w:t>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w:t>
      </w:r>
    </w:p>
    <w:p>
      <w:pPr>
        <w:spacing w:after="0" w:line="63" w:lineRule="exact"/>
        <w:rPr>
          <w:sz w:val="20"/>
          <w:szCs w:val="20"/>
          <w:color w:val="auto"/>
        </w:rPr>
      </w:pPr>
    </w:p>
    <w:p>
      <w:pPr>
        <w:ind w:left="2140" w:hanging="416"/>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 of the net bondable value of property additions not subject to an unfunded prior lien;</w:t>
      </w:r>
    </w:p>
    <w:p>
      <w:pPr>
        <w:spacing w:after="0" w:line="99" w:lineRule="exact"/>
        <w:rPr>
          <w:rFonts w:ascii="Times New Roman" w:cs="Times New Roman" w:eastAsia="Times New Roman" w:hAnsi="Times New Roman"/>
          <w:sz w:val="14"/>
          <w:szCs w:val="14"/>
          <w:color w:val="auto"/>
        </w:rPr>
      </w:pPr>
    </w:p>
    <w:p>
      <w:pPr>
        <w:ind w:left="2140" w:hanging="416"/>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bonds retired or to be retired (except out of trust monies); and</w:t>
      </w:r>
    </w:p>
    <w:p>
      <w:pPr>
        <w:spacing w:after="0" w:line="99" w:lineRule="exact"/>
        <w:rPr>
          <w:rFonts w:ascii="Times New Roman" w:cs="Times New Roman" w:eastAsia="Times New Roman" w:hAnsi="Times New Roman"/>
          <w:sz w:val="14"/>
          <w:szCs w:val="14"/>
          <w:color w:val="auto"/>
        </w:rPr>
      </w:pPr>
    </w:p>
    <w:p>
      <w:pPr>
        <w:ind w:left="2140" w:right="519" w:hanging="416"/>
        <w:spacing w:after="0" w:line="279" w:lineRule="auto"/>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deposited with the trustee for such purpose, which may thereafter be withdrawn upon the same basis that additional bonds are issuable under clause (1) or (2) above.</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Additional bonds may not be issued on the basis of property additions subject to an unfunded prior lien.</w:t>
      </w:r>
    </w:p>
    <w:p>
      <w:pPr>
        <w:spacing w:after="0" w:line="25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Release and Substitution of Property</w:t>
      </w:r>
    </w:p>
    <w:p>
      <w:pPr>
        <w:spacing w:after="0" w:line="91"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70%, or the deposit with the trustee of bonds we have acquired. The mortgage contains special provisions with respect to the release of all or substantially all of our gas and electric properties.</w:t>
      </w:r>
    </w:p>
    <w:p>
      <w:pPr>
        <w:spacing w:after="0" w:line="142"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The mortgage also permits (1) 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 and (2) 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Events of Default</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An event of default under the mortgage includes:</w:t>
      </w:r>
    </w:p>
    <w:p>
      <w:pPr>
        <w:spacing w:after="0" w:line="100" w:lineRule="exact"/>
        <w:rPr>
          <w:sz w:val="20"/>
          <w:szCs w:val="20"/>
          <w:color w:val="auto"/>
        </w:rPr>
      </w:pPr>
    </w:p>
    <w:p>
      <w:pPr>
        <w:ind w:left="2140" w:hanging="333"/>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any bond when the same shall become due and payable, whether at maturity or otherwise;</w:t>
      </w:r>
    </w:p>
    <w:p>
      <w:pPr>
        <w:spacing w:after="0" w:line="99" w:lineRule="exact"/>
        <w:rPr>
          <w:rFonts w:ascii="Times New Roman" w:cs="Times New Roman" w:eastAsia="Times New Roman" w:hAnsi="Times New Roman"/>
          <w:sz w:val="14"/>
          <w:szCs w:val="14"/>
          <w:color w:val="auto"/>
        </w:rPr>
      </w:pPr>
    </w:p>
    <w:p>
      <w:pPr>
        <w:ind w:left="2140" w:right="479" w:hanging="333"/>
        <w:spacing w:after="0" w:line="279" w:lineRule="auto"/>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continuing for 30 days in the payment of any installment of interest on any bond or in the payment or satisfaction of any sinking fund obligation;</w:t>
      </w:r>
    </w:p>
    <w:p>
      <w:pPr>
        <w:spacing w:after="0" w:line="53" w:lineRule="exact"/>
        <w:rPr>
          <w:rFonts w:ascii="Times New Roman" w:cs="Times New Roman" w:eastAsia="Times New Roman" w:hAnsi="Times New Roman"/>
          <w:sz w:val="14"/>
          <w:szCs w:val="14"/>
          <w:color w:val="auto"/>
        </w:rPr>
      </w:pPr>
    </w:p>
    <w:p>
      <w:pPr>
        <w:ind w:left="2140" w:right="439" w:hanging="333"/>
        <w:spacing w:after="0" w:line="264" w:lineRule="auto"/>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w:t>
      </w:r>
    </w:p>
    <w:p>
      <w:pPr>
        <w:spacing w:after="0" w:line="63" w:lineRule="exact"/>
        <w:rPr>
          <w:rFonts w:ascii="Times New Roman" w:cs="Times New Roman" w:eastAsia="Times New Roman" w:hAnsi="Times New Roman"/>
          <w:sz w:val="14"/>
          <w:szCs w:val="14"/>
          <w:color w:val="auto"/>
        </w:rPr>
      </w:pPr>
    </w:p>
    <w:p>
      <w:pPr>
        <w:ind w:left="2140" w:right="499" w:hanging="333"/>
        <w:spacing w:after="0" w:line="264" w:lineRule="auto"/>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any prior lien bond when the same shall become due and payable, whether at maturity or otherwise, or default in the payment of any installment on interest on any prior lien bond beyond the applicable grace period specific in such prior lien bond; and</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in bankruptcy, insolvency or reorganization.</w:t>
      </w:r>
    </w:p>
    <w:p>
      <w:pPr>
        <w:spacing w:after="0" w:line="1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 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w:t>
      </w:r>
    </w:p>
    <w:p>
      <w:pPr>
        <w:spacing w:after="0" w:line="150"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of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Substitution of Bonds</w:t>
      </w:r>
    </w:p>
    <w:p>
      <w:pPr>
        <w:spacing w:after="0" w:line="91"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We or any successor entity will have the right to substitute mortgage bonds or other similar secured instruments for the bonds offered hereby, provided that (1) such substitute mortgage bonds or other similar secured instruments have terms that are (x) identical to those of the bonds offered hereby as to principal amount then outstanding and the then current interest rate, maturity date, interest payment dates and optional redemption provisions and (y) otherwise substantially similar to those of the bonds offered hereby and carry ratings equal to or better than the then current ratings of the bonds offered hereby, (2) we deliver to the trustee an opinion of counsel that such substitution will not result in the recognition of capital gain or loss for U.S. federal income tax purposes to the holders of the bonds offered hereby and (3) we deliver certain other certificates and documents, as required by the supplemental indenture to the mortgage related to the bonds offered hereby to the trustee.</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Book-Entry System</w:t>
      </w:r>
    </w:p>
    <w:p>
      <w:pPr>
        <w:spacing w:after="0" w:line="91"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Upon issuance, the bonds will be represented by one or more global securities deposited with, or on behalf of, DTC, as depositary. The global securities representing the bonds will be registered in the name of the depositary or its nominee. Except under the circumstances described in the accompanying prospectus under “Book-Entry System,” the bonds will not be issuable in definitive form. So long as the bonds are represented by one or more global securities, the depositary or its nominee will be considered the sole owner or holder of such bonds for all purposes under the mortgage, and the beneficial owners of such bonds will be entitled only to those rights and benefits afforded to them in accordance with the depositary’s regular operating procedures. The</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79" w:lineRule="auto"/>
        <w:rPr>
          <w:sz w:val="20"/>
          <w:szCs w:val="20"/>
          <w:color w:val="auto"/>
        </w:rPr>
      </w:pPr>
      <w:r>
        <w:rPr>
          <w:rFonts w:ascii="Times New Roman" w:cs="Times New Roman" w:eastAsia="Times New Roman" w:hAnsi="Times New Roman"/>
          <w:sz w:val="14"/>
          <w:szCs w:val="14"/>
          <w:color w:val="auto"/>
        </w:rPr>
        <w:t>depositary has confirmed to us, the underwriters and the trustee that it intends to follow such procedures with respect to the bonds. A further description of the depositary’s procedures with respect to global securities is set forth in the accompanying prospectus under “Book-Entry System.”</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Global Clearance and Settlement Procedures</w:t>
      </w:r>
    </w:p>
    <w:p>
      <w:pPr>
        <w:spacing w:after="0" w:line="91"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Secondary market trading between Clearstream Banking S.A. (“Clearstream”) participants or Euroclear Bank SA/NV, as operator of the Euroclear System (“Euroclear”) participants will occur in the ordinary way in accordance with the applicable rules and operating procedures of Clearstream and Euroclear, as applicable.</w:t>
      </w:r>
    </w:p>
    <w:p>
      <w:pPr>
        <w:spacing w:after="0" w:line="136"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44"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Because of time-zone differences, credits of bonds received in Clearstream or Euroclear as a result of a transaction with a DTC participant will be made during subsequent securities settlement processing and dated the business day following the DTC settlement date. Such credits or any transactions in such bonds settled during such processing will be reported to the relevant Euroclear participant or Clearstream participant on such business day. Cash received in Clearstream or Euroclear as a result of sales of the bonds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91" w:lineRule="exact"/>
        <w:rPr>
          <w:sz w:val="20"/>
          <w:szCs w:val="20"/>
          <w:color w:val="auto"/>
        </w:rPr>
      </w:pPr>
    </w:p>
    <w:p>
      <w:pPr>
        <w:ind w:left="1400" w:right="379" w:firstLine="340"/>
        <w:spacing w:after="0" w:line="319" w:lineRule="auto"/>
        <w:rPr>
          <w:sz w:val="20"/>
          <w:szCs w:val="20"/>
          <w:color w:val="auto"/>
        </w:rPr>
      </w:pPr>
      <w:r>
        <w:rPr>
          <w:rFonts w:ascii="Times New Roman" w:cs="Times New Roman" w:eastAsia="Times New Roman" w:hAnsi="Times New Roman"/>
          <w:sz w:val="13"/>
          <w:szCs w:val="13"/>
          <w:color w:val="auto"/>
        </w:rPr>
        <w:t>We and our affiliates maintain corporate trust and other banking relationships (including borrowing) with The Bank of New York Mellon Trust Company, N.A. and its affiliates. In addition, BNY Mellon Capital Markets, LLC, one of the underwriters for this offering, is an affiliate of the trustee.</w:t>
      </w:r>
    </w:p>
    <w:p>
      <w:pPr>
        <w:spacing w:after="0" w:line="5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175"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The following discussion summarizes certain material U.S. federal income tax considerations that may be relevant to the purchase, ownership and disposition of the bonds. This discussion does not address all aspects of taxation that may be relevant to a particular holder of the bonds in light of the holder’s personal investment or tax circumstances, or to certain types of holders that are subject to special treatment under the U.S. federal income tax laws, such as:</w:t>
      </w:r>
    </w:p>
    <w:p>
      <w:pPr>
        <w:spacing w:after="0" w:line="66" w:lineRule="exact"/>
        <w:rPr>
          <w:sz w:val="20"/>
          <w:szCs w:val="20"/>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or dealers in securities or foreign currency;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thrifts;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that have elected the mark-to-market method of accounting for their securities;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hold the bonds as part of a “straddle,” a “hedge,” a “constructive sale” transaction, or a “conversion transaction”;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liable for alternative minimum tax;</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U.S. citizens or U.S. long-term residents or expatriates;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retirement plans;</w:t>
      </w:r>
    </w:p>
    <w:p>
      <w:pPr>
        <w:spacing w:after="0" w:line="99" w:lineRule="exact"/>
        <w:rPr>
          <w:rFonts w:ascii="Times New Roman" w:cs="Times New Roman" w:eastAsia="Times New Roman" w:hAnsi="Times New Roman"/>
          <w:sz w:val="14"/>
          <w:szCs w:val="14"/>
          <w:color w:val="auto"/>
        </w:rPr>
      </w:pPr>
    </w:p>
    <w:p>
      <w:pPr>
        <w:ind w:left="2140" w:right="399" w:hanging="333"/>
        <w:spacing w:after="0" w:line="279" w:lineRule="auto"/>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that have a “functional currency” other than the U.S. dollar or that hold bonds through a non-U.S. broker or other non-U.S. intermediary;</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 the bonds in connection with employment or other performance of services;</w:t>
      </w:r>
    </w:p>
    <w:p>
      <w:pPr>
        <w:spacing w:after="0" w:line="99" w:lineRule="exact"/>
        <w:rPr>
          <w:rFonts w:ascii="Times New Roman" w:cs="Times New Roman" w:eastAsia="Times New Roman" w:hAnsi="Times New Roman"/>
          <w:sz w:val="14"/>
          <w:szCs w:val="14"/>
          <w:color w:val="auto"/>
        </w:rPr>
      </w:pPr>
    </w:p>
    <w:p>
      <w:pPr>
        <w:ind w:left="2140" w:right="759" w:hanging="333"/>
        <w:spacing w:after="0" w:line="279" w:lineRule="auto"/>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required for U.S. federal income tax purposes to conform the timing of accruals with respect to the bonds to their financial statements; and</w:t>
      </w:r>
    </w:p>
    <w:p>
      <w:pPr>
        <w:spacing w:after="0" w:line="53" w:lineRule="exact"/>
        <w:rPr>
          <w:rFonts w:ascii="Times New Roman" w:cs="Times New Roman" w:eastAsia="Times New Roman" w:hAnsi="Times New Roman"/>
          <w:sz w:val="14"/>
          <w:szCs w:val="14"/>
          <w:color w:val="auto"/>
        </w:rPr>
      </w:pPr>
    </w:p>
    <w:p>
      <w:pPr>
        <w:ind w:left="2140" w:right="759" w:hanging="333"/>
        <w:spacing w:after="0" w:line="279" w:lineRule="auto"/>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(and other entities or arrangements treated as partnerships for U.S. federal income tax purposes) and investors in such partnerships (or such other pass-through entities or arrangements).</w:t>
      </w:r>
    </w:p>
    <w:p>
      <w:pPr>
        <w:spacing w:after="0" w:line="126" w:lineRule="exact"/>
        <w:rPr>
          <w:sz w:val="20"/>
          <w:szCs w:val="20"/>
          <w:color w:val="auto"/>
        </w:rPr>
      </w:pPr>
    </w:p>
    <w:p>
      <w:pPr>
        <w:ind w:left="1400" w:right="359" w:firstLine="340"/>
        <w:spacing w:after="0" w:line="254" w:lineRule="auto"/>
        <w:rPr>
          <w:sz w:val="20"/>
          <w:szCs w:val="20"/>
          <w:color w:val="auto"/>
        </w:rPr>
      </w:pPr>
      <w:r>
        <w:rPr>
          <w:rFonts w:ascii="Times New Roman" w:cs="Times New Roman" w:eastAsia="Times New Roman" w:hAnsi="Times New Roman"/>
          <w:sz w:val="14"/>
          <w:szCs w:val="14"/>
          <w:color w:val="auto"/>
        </w:rPr>
        <w:t>This summary assumes that the bonds are held as capital assets within the meaning of Section 1221 of the Internal Revenue Code of 1986, as amended (the “Code”) for U.S. federal income tax purposes, which generally means property held for investment. In addition, this discussion is limited to the U.S. federal income tax consequences to initial investors that purchase the bonds for cash, at the offering price set forth for such bonds on the cover page of this prospectus supplement, and does not discuss the tax consequences for subsequent purchasers of the bonds. It does not consider any tax consequences arising out of U.S. federal gift, generation-skipping and estate tax laws or any other U.S. federal tax laws other than U.S. federal income tax laws, under the tax laws of any foreign, state, local or other jurisdiction or any income tax treaty.</w:t>
      </w:r>
    </w:p>
    <w:p>
      <w:pPr>
        <w:spacing w:after="0" w:line="145"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If a partnership, including for purposes of this discussion, any entity or arrangement that is treated as a partnership for U.S. federal income tax purposes, is a beneficial owner of bonds, the tax treatment of a partner in the partnership will generally depend on the status of the partner and the activities of the partnership. If you are a partnership that is considering purchasing bonds (or a partner in such partnership), you should consult with your tax advisor.</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3"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519" w:firstLine="340"/>
        <w:spacing w:after="0" w:line="256" w:lineRule="auto"/>
        <w:rPr>
          <w:sz w:val="20"/>
          <w:szCs w:val="20"/>
          <w:color w:val="auto"/>
        </w:rPr>
      </w:pPr>
      <w:r>
        <w:rPr>
          <w:rFonts w:ascii="Times New Roman" w:cs="Times New Roman" w:eastAsia="Times New Roman" w:hAnsi="Times New Roman"/>
          <w:sz w:val="14"/>
          <w:szCs w:val="14"/>
          <w:color w:val="auto"/>
        </w:rPr>
        <w:t>This discussion is based upon the Code, applicable Treasury regulations promulgated thereunder, judicial authority and administrative interpretations as of the date hereof, all of which are subject to change or different interpretation, possibly with retroactive effect. There can be no assurance that the Internal Revenue Service (the “IRS”) will not challenge one or more of the tax consequences described herein and we have not obtained, nor do we intend to obtain, a ruling from the IRS with respect to the U.S. federal income tax consequences of the purchase, ownership and disposition of the bonds.</w:t>
      </w:r>
    </w:p>
    <w:p>
      <w:pPr>
        <w:spacing w:after="0" w:line="142" w:lineRule="exact"/>
        <w:rPr>
          <w:sz w:val="20"/>
          <w:szCs w:val="20"/>
          <w:color w:val="auto"/>
        </w:rPr>
      </w:pPr>
    </w:p>
    <w:p>
      <w:pPr>
        <w:ind w:left="1400" w:right="859" w:firstLine="340"/>
        <w:spacing w:after="0" w:line="279" w:lineRule="auto"/>
        <w:rPr>
          <w:sz w:val="20"/>
          <w:szCs w:val="20"/>
          <w:color w:val="auto"/>
        </w:rPr>
      </w:pPr>
      <w:r>
        <w:rPr>
          <w:rFonts w:ascii="Times New Roman" w:cs="Times New Roman" w:eastAsia="Times New Roman" w:hAnsi="Times New Roman"/>
          <w:sz w:val="14"/>
          <w:szCs w:val="14"/>
          <w:color w:val="auto"/>
        </w:rPr>
        <w:t>We urge you to consult your own tax advisor about the particular U.S. federal, state, local and foreign tax consequences of the purchase, ownership and disposition of the bonds and the application of the U.S. federal income tax laws to your particular situation.</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 “U.S. holder” is a beneficial owner of bonds that, for U.S. federal income tax purposes, is:</w:t>
      </w:r>
    </w:p>
    <w:p>
      <w:pPr>
        <w:spacing w:after="0" w:line="100" w:lineRule="exact"/>
        <w:rPr>
          <w:sz w:val="20"/>
          <w:szCs w:val="20"/>
          <w:color w:val="auto"/>
        </w:rPr>
      </w:pPr>
    </w:p>
    <w:p>
      <w:pPr>
        <w:ind w:left="2140" w:hanging="333"/>
        <w:spacing w:after="0"/>
        <w:tabs>
          <w:tab w:leader="none" w:pos="2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citizen or resident of the United States;</w:t>
      </w:r>
    </w:p>
    <w:p>
      <w:pPr>
        <w:spacing w:after="0" w:line="99"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(including an entity treated as a corporation for U.S. federal income tax purposes) created or organized under the laws of the United States, any of its states or the District of Columbia;</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9" w:lineRule="exact"/>
        <w:rPr>
          <w:rFonts w:ascii="Times New Roman" w:cs="Times New Roman" w:eastAsia="Times New Roman" w:hAnsi="Times New Roman"/>
          <w:sz w:val="14"/>
          <w:szCs w:val="14"/>
          <w:color w:val="auto"/>
        </w:rPr>
      </w:pPr>
    </w:p>
    <w:p>
      <w:pPr>
        <w:jc w:val="both"/>
        <w:ind w:left="2140" w:right="259" w:hanging="333"/>
        <w:spacing w:after="0" w:line="264" w:lineRule="auto"/>
        <w:tabs>
          <w:tab w:leader="none" w:pos="2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trust if (1) a court within the United States is able to exercise primary supervision over the administration of such trust and one or more United States persons (as defined in the Code) have the authority to control all substantial decisions of the trust or (2) it has a valid election in place to be treated as a United States person.</w:t>
      </w:r>
    </w:p>
    <w:p>
      <w:pPr>
        <w:spacing w:after="0" w:line="2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Contingent Payments</w:t>
      </w:r>
    </w:p>
    <w:p>
      <w:pPr>
        <w:spacing w:after="0" w:line="91" w:lineRule="exact"/>
        <w:rPr>
          <w:sz w:val="20"/>
          <w:szCs w:val="20"/>
          <w:color w:val="auto"/>
        </w:rPr>
      </w:pPr>
    </w:p>
    <w:p>
      <w:pPr>
        <w:ind w:left="1400" w:right="299" w:firstLine="340"/>
        <w:spacing w:after="0" w:line="278" w:lineRule="auto"/>
        <w:rPr>
          <w:sz w:val="20"/>
          <w:szCs w:val="20"/>
          <w:color w:val="auto"/>
        </w:rPr>
      </w:pPr>
      <w:r>
        <w:rPr>
          <w:rFonts w:ascii="Times New Roman" w:cs="Times New Roman" w:eastAsia="Times New Roman" w:hAnsi="Times New Roman"/>
          <w:sz w:val="13"/>
          <w:szCs w:val="13"/>
          <w:color w:val="auto"/>
        </w:rPr>
        <w:t>If we exercise our optional redemption right, we will be required to repurchase all or a portion of the bonds as described under “Description of the Bonds—Optional Redemption” at a price that may include an additional amount in excess of the principal amount of the bonds and interest thereon. We intend to take the position that the likelihood that we will be required to make such payments is remote as of the issue date of the bonds and therefore that these provisions do not cause the bonds to be treated as “contingent payment debt instruments” for U.S. federal income tax purposes within the meaning of the applicable Treasury regulations. Assuming this position is respected, you would be required to include in income such additional amounts at the time the payments are received or accrued in accordance with your method of accounting for U.S. federal income tax purposes.</w:t>
      </w:r>
    </w:p>
    <w:p>
      <w:pPr>
        <w:spacing w:after="0" w:line="129"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Our determination that the bonds are not contingent payment debt instruments is not binding on the IRS. If the IRS were to successfully challenge our determination and the bonds were treated as contingent payment debt instruments, you would be required, among other things, to accrue interest income at a rate higher than the stated interest rate on the bonds regardless of your method of tax accounting and to treat as ordinary income, rather than capital gain, any gain recognized on a sale, exchange or redemption of a bond. Our determination that the bonds are not contingent payment debt instruments is binding on you unless you disclose your contrary position to the IRS in the manner that is required by applicable Treasury regulations. The remainder of this discussion assumes that the bonds are not treated as contingent payment debt instruments.</w:t>
      </w:r>
    </w:p>
    <w:p>
      <w:pPr>
        <w:spacing w:after="0" w:line="2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Qualified Reopening</w:t>
      </w:r>
    </w:p>
    <w:p>
      <w:pPr>
        <w:spacing w:after="0" w:line="91"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The bonds offered hereby are an additional issue of the existing bonds. For U.S. federal income tax purposes, we intend to treat the issuance of the bonds as a “qualified reopening” of the existing bonds under applicable Treasury regulations. Under such treatment, the bonds will be deemed to have the same issue date and issue price as the existing bonds for U.S. federal income tax purposes. The remainder of this discussion assumes that the issuance of the bonds offered will be treated as a qualified reopening of the existing bonds.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Pre-Issuance Accrued Interest</w:t>
      </w:r>
    </w:p>
    <w:p>
      <w:pPr>
        <w:spacing w:after="0" w:line="91" w:lineRule="exact"/>
        <w:rPr>
          <w:sz w:val="20"/>
          <w:szCs w:val="20"/>
          <w:color w:val="auto"/>
        </w:rPr>
      </w:pPr>
    </w:p>
    <w:p>
      <w:pPr>
        <w:ind w:left="1400" w:right="359" w:firstLine="340"/>
        <w:spacing w:after="0" w:line="256" w:lineRule="auto"/>
        <w:rPr>
          <w:sz w:val="20"/>
          <w:szCs w:val="20"/>
          <w:color w:val="auto"/>
        </w:rPr>
      </w:pPr>
      <w:r>
        <w:rPr>
          <w:rFonts w:ascii="Times New Roman" w:cs="Times New Roman" w:eastAsia="Times New Roman" w:hAnsi="Times New Roman"/>
          <w:sz w:val="14"/>
          <w:szCs w:val="14"/>
          <w:color w:val="auto"/>
        </w:rPr>
        <w:t>A portion of the price paid for the bonds will be allocable to stated interest that accrued prior to the date the bonds are purchased (“pre-issuance accrued interest”). We intend to take the position that a portion of the first stated interest payment equal to the amount of such pre-issuance accrued interest will be treated as a nontaxable return of such pre-issuance accrued interest and not as a payment of stated interest on the bonds and will be excluded from a U.S. holder’s basis in the new bond. The remainder of this discussion assumes that the pre-issuance accrued interest will be so treated, and all references to interest in the remainder of this discussion of U.S. holders exclude references to pre-issuance accrued interest.</w:t>
      </w:r>
    </w:p>
    <w:p>
      <w:pPr>
        <w:spacing w:after="0" w:line="2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Interest</w:t>
      </w:r>
    </w:p>
    <w:p>
      <w:pPr>
        <w:spacing w:after="0" w:line="91" w:lineRule="exact"/>
        <w:rPr>
          <w:sz w:val="20"/>
          <w:szCs w:val="20"/>
          <w:color w:val="auto"/>
        </w:rPr>
      </w:pPr>
    </w:p>
    <w:p>
      <w:pPr>
        <w:ind w:left="1400" w:right="279" w:firstLine="340"/>
        <w:spacing w:after="0" w:line="279" w:lineRule="auto"/>
        <w:rPr>
          <w:sz w:val="20"/>
          <w:szCs w:val="20"/>
          <w:color w:val="auto"/>
        </w:rPr>
      </w:pPr>
      <w:r>
        <w:rPr>
          <w:rFonts w:ascii="Times New Roman" w:cs="Times New Roman" w:eastAsia="Times New Roman" w:hAnsi="Times New Roman"/>
          <w:sz w:val="14"/>
          <w:szCs w:val="14"/>
          <w:color w:val="auto"/>
        </w:rPr>
        <w:t>Stated interest on the bonds generally will be taxable to a U.S. holder as ordinary interest income at the time such interest is received or accrued in accordance with the U.S. holder’s regular method of accounting for U.S. federal income tax purposes.</w:t>
      </w:r>
    </w:p>
    <w:p>
      <w:pPr>
        <w:spacing w:after="0" w:line="20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Amortizable Bond Premium</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If a U.S. holder purchases a new bond for an amount (disregarding any amount properly allocable to pre-issuance accrued interest) in excess of its stated principal amount, the U.S. holder will be considered to have acquired the bond with amortizable “bond premium” equal to such excess. A U.S. holder may elect to amortize such bond premium over the remaining term of the bond. By making this election, the U.S. holder will reduce the amount required to be included in the U.S. holder’s income each year with respect to stated interest on the bond by the amount of amortizable bond premium allocable to that year, based on the yield to maturity of the bond. A U.S. holder’s tax basis in a bond will be reduced by the amount of bond premium so amortized. If the U.S. holder makes an election to amortize bond premium, this election will apply to all debt instruments, other than debt instruments the interest on which is excludible from gross income, that the U.S. holder holds at the beginning of the first taxable year to which the election applies or that the U.S. holder thereafter acquires, and the holder may not revoke this election without the consent of the IRS.</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Sale, Exchange or Other Taxable Disposition of Bonds</w:t>
      </w:r>
    </w:p>
    <w:p>
      <w:pPr>
        <w:spacing w:after="0" w:line="91"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A U.S. holder will generally recognize taxable gain or loss on the sale, exchange, redemption, retirement or other taxable disposition of a bond. The amount of the U.S. holder’s gain or loss will equal the difference between the amount of cash and fair market value of any other property received by the U.S. holder in exchange for the bond (except to the extent such amount represents accrued but unpaid interest, which will generally be treated as ordinary interest income to the extent the U.S. holder has not previously included the accrued interest in gross income) minus the U.S. holder’s adjusted tax basis in the bond. The U.S. holder’s adjusted tax basis in a bond generally will be the price the U.S. holder paid for the bond decreased by any payments received on the bond other than stated interest and by any amortized bond premium. Any such gain or loss on a taxable disposition of a bond, as described above, will generally constitute capital gain or loss and will be long-term capital gain or loss if the U.S. holder has held such bond for more than one year at the time of disposition. Under current U.S. federal income tax law, net long-term capital gains of certain non-corporate U.S. holders (including individuals) are eligible for taxation at preferential rates. The deductibility of capital losses against ordinary income is subject to limitations. Each U.S. holder is urged to consult its tax advisor regarding the deductibility of capital losses in its particular situation.</w:t>
      </w:r>
    </w:p>
    <w:p>
      <w:pPr>
        <w:spacing w:after="0" w:line="2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 Tax</w:t>
      </w:r>
    </w:p>
    <w:p>
      <w:pPr>
        <w:spacing w:after="0" w:line="91" w:lineRule="exact"/>
        <w:rPr>
          <w:sz w:val="20"/>
          <w:szCs w:val="20"/>
          <w:color w:val="auto"/>
        </w:rPr>
      </w:pPr>
    </w:p>
    <w:p>
      <w:pPr>
        <w:ind w:left="1400" w:right="579" w:firstLine="340"/>
        <w:spacing w:after="0" w:line="264" w:lineRule="auto"/>
        <w:rPr>
          <w:sz w:val="20"/>
          <w:szCs w:val="20"/>
          <w:color w:val="auto"/>
        </w:rPr>
      </w:pPr>
      <w:r>
        <w:rPr>
          <w:rFonts w:ascii="Times New Roman" w:cs="Times New Roman" w:eastAsia="Times New Roman" w:hAnsi="Times New Roman"/>
          <w:sz w:val="14"/>
          <w:szCs w:val="14"/>
          <w:color w:val="auto"/>
        </w:rPr>
        <w:t>Certain U.S. holders that are individuals, estates or trusts are subject to a 3.8% tax on all or a portion of their “net investment income,” which generally will include interest and gain on a sale in respect of the bonds, subject to certain exceptions. Each U.S. holder is urged to consult its tax advisor regarding the applicability of the net investment income tax to its income and gains in respect of its investment in the bonds.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Payments of principal and interest made by us on, or the proceeds of the sale or other disposition of, the bonds generally will be subject to information reporting requirements unless the U.S. holder is an exempt recipient, such as a corporation, and, if required, demonstrates its status as an exempt recipient. In addition, such payments generally will be subject to U.S. federal backup withholding tax, currently at a rate of 24%, unless the U.S. holder supplies a taxpayer identification number, certified under penalties of perjury, as well as certain other information, or otherwise establishes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91" w:lineRule="exact"/>
        <w:rPr>
          <w:sz w:val="20"/>
          <w:szCs w:val="20"/>
          <w:color w:val="auto"/>
        </w:rPr>
      </w:pPr>
    </w:p>
    <w:p>
      <w:pPr>
        <w:ind w:left="1400" w:right="919" w:firstLine="340"/>
        <w:spacing w:after="0" w:line="279" w:lineRule="auto"/>
        <w:rPr>
          <w:sz w:val="20"/>
          <w:szCs w:val="20"/>
          <w:color w:val="auto"/>
        </w:rPr>
      </w:pPr>
      <w:r>
        <w:rPr>
          <w:rFonts w:ascii="Times New Roman" w:cs="Times New Roman" w:eastAsia="Times New Roman" w:hAnsi="Times New Roman"/>
          <w:sz w:val="14"/>
          <w:szCs w:val="14"/>
          <w:color w:val="auto"/>
        </w:rPr>
        <w:t>A “Non-U.S. holder” is a beneficial owner of bonds that is neither (i) a U.S. holder nor (ii) a partnership or other pass-through entity or arrangement that is treated as a partnership for U.S. federal income tax purposes (which, as indicated above, we do not address herein).</w:t>
      </w:r>
    </w:p>
    <w:p>
      <w:pPr>
        <w:spacing w:after="0" w:line="126"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For purposes of this discussion of Non-U.S. holders, interest does not include any pre-acquisition accrued interest, as discussed above under “U.S. Holders – Pre-Acquisition Accrued Interest.” However, to the extent any interest is subject to U.S. federal withholding tax as described below, the applicable withholding agent will treat payments of interest, including any payment of pre-acquisition accrued interest, as interest income. Non-U.S. holders should consult their tax advisors regarding the ability to obtain a refund of any amounts withheld that are attributable to pre-acquisition accrued interest.</w:t>
      </w:r>
    </w:p>
    <w:p>
      <w:pPr>
        <w:spacing w:after="0" w:line="2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Payments on the Bonds</w:t>
      </w:r>
    </w:p>
    <w:p>
      <w:pPr>
        <w:spacing w:after="0" w:line="91"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Subject to the discussions below concerning backup withholding and FATCA (as defined below) withholding, payments of interest on a bond to any Non-U.S. holder will generally not be subject to U.S. federal income or withholding tax, provided that the interest is not effectively connected with a U.S. trade or business conducted by the Non-U.S. holder and the Non-U.S. holder is not (and, if so requested by the paying agent, certifies that it is not):</w:t>
      </w:r>
    </w:p>
    <w:p>
      <w:pPr>
        <w:spacing w:after="0" w:line="66" w:lineRule="exact"/>
        <w:rPr>
          <w:sz w:val="20"/>
          <w:szCs w:val="20"/>
          <w:color w:val="auto"/>
        </w:rPr>
      </w:pPr>
    </w:p>
    <w:p>
      <w:pPr>
        <w:ind w:left="2140" w:hanging="33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actual or constructive owner of 10% or more of the total voting power of all our voting stock;</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controlled foreign corporation related (directly or indirectly) to us through stock ownership; or</w:t>
      </w:r>
    </w:p>
    <w:p>
      <w:pPr>
        <w:spacing w:after="0" w:line="99" w:lineRule="exact"/>
        <w:rPr>
          <w:rFonts w:ascii="Times New Roman" w:cs="Times New Roman" w:eastAsia="Times New Roman" w:hAnsi="Times New Roman"/>
          <w:sz w:val="14"/>
          <w:szCs w:val="14"/>
          <w:color w:val="auto"/>
        </w:rPr>
      </w:pPr>
    </w:p>
    <w:p>
      <w:pPr>
        <w:ind w:left="2140" w:right="579" w:hanging="333"/>
        <w:spacing w:after="0" w:line="279"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 receiving interest on an extension of credit made pursuant to a loan agreement with us entered into in the ordinary course of its trade or business; and</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or our paying agent, receive:</w:t>
      </w:r>
    </w:p>
    <w:p>
      <w:pPr>
        <w:spacing w:after="0" w:line="100" w:lineRule="exact"/>
        <w:rPr>
          <w:sz w:val="20"/>
          <w:szCs w:val="20"/>
          <w:color w:val="auto"/>
        </w:rPr>
      </w:pPr>
    </w:p>
    <w:p>
      <w:pPr>
        <w:ind w:left="2140" w:right="419" w:hanging="333"/>
        <w:spacing w:after="0" w:line="264"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Non-U.S. holder, a properly completed IRS Form W-8BEN or W-8BEN-E (or substitute Form W-8BEN or W-8BEN-E or the appropriate successor form), signed under penalties of perjury, which provides the Non-U.S. holder’s name and address and certifies that the Non-U.S. holder of the bond is not a United States person (as defined in the Code); or</w:t>
      </w:r>
    </w:p>
    <w:p>
      <w:pPr>
        <w:spacing w:after="0" w:line="63" w:lineRule="exact"/>
        <w:rPr>
          <w:rFonts w:ascii="Times New Roman" w:cs="Times New Roman" w:eastAsia="Times New Roman" w:hAnsi="Times New Roman"/>
          <w:sz w:val="14"/>
          <w:szCs w:val="14"/>
          <w:color w:val="auto"/>
        </w:rPr>
      </w:pPr>
    </w:p>
    <w:p>
      <w:pPr>
        <w:ind w:left="2140" w:right="259" w:hanging="333"/>
        <w:spacing w:after="0" w:line="256"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 securities clearing organization, bank or other financial institution that holds the bonds in the ordinary course of its trade or business (a “financial institution”) on behalf of the Non-U.S. holder, certification under penalties of perjury that such a Form W-8BEN or W-8BEN-E (or substitute Form W-8BEN or W-8BEN-E or the appropriate successor form) has been received by it, or by another such financial institution, from the Non-U.S. holder, and a copy of the Form W-8BEN or W-8BEN-E (or substitute Form W-8BEN or W-8BEN-E or the appropriate successor form) is furnished to the payor.</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Special rules may apply to holders that hold bonds through “qualified intermediaries” within the meaning of U.S. federal income tax laws.</w:t>
      </w:r>
    </w:p>
    <w:p>
      <w:pPr>
        <w:spacing w:after="0" w:line="1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3"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If interest on a bond is effectively connected with the conduct by a Non-U.S. holder of a trade or business in the United States and, if the Non-U.S. holder is entitled to the benefits under an applicable tax treaty, is attributable to a permanent establishment or a fixed base in the United States, then such income generally will be subject to U.S. federal income tax on a net income basis at the rates applicable to United States persons generally (and, if realized by corporate Non-U.S. holders, may also be subject to a branch profits tax at 30% or such lower rate as may be available pursuant to an applicable income tax treaty). If interest is subject to U.S. federal income tax on a net income basis in accordance with the rules described in the preceding sentence, payments of such interest will not be subject to U.S. federal withholding tax so long as the holder provides us or the paying agent with a properly completed IRS Form W-8ECI.</w:t>
      </w:r>
    </w:p>
    <w:p>
      <w:pPr>
        <w:spacing w:after="0" w:line="147"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A Non-U.S. holder that does not qualify for an exemption from withholding under the preceding paragraphs generally will be subject to withholding of U.S. federal income tax at the rate of 30% (or lower applicable treaty rate if the Non-U.S. holder qualifies for such applicable treaty benefit and certifies such qualification via a Form W-8BEN or W-8BEN-E) on payments of interest on the bonds. We will not be obligated to make any “gross up” or additional payments in respect of amounts withheld on the bonds if we determine that we must so withhold in respect of the amounts described above.</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Non-U.S. holders may be required to periodically update their IRS forms.</w:t>
      </w:r>
    </w:p>
    <w:p>
      <w:pPr>
        <w:spacing w:after="0" w:line="173" w:lineRule="exact"/>
        <w:rPr>
          <w:sz w:val="20"/>
          <w:szCs w:val="20"/>
          <w:color w:val="auto"/>
        </w:rPr>
      </w:pPr>
    </w:p>
    <w:p>
      <w:pPr>
        <w:jc w:val="both"/>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Non-U.S. holders should consult their tax advisors concerning certification requirements and about any applicable income tax treaties, which may provide for an exemption from or a lower rate of withholding tax, exemption from or reduction of branch profits tax, or other rules different from those described above.</w:t>
      </w:r>
    </w:p>
    <w:p>
      <w:pPr>
        <w:spacing w:after="0" w:line="2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Sale, Exchange or Other Taxable Disposition of Bonds</w:t>
      </w:r>
    </w:p>
    <w:p>
      <w:pPr>
        <w:spacing w:after="0" w:line="91"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Subject to the discussions of backup withholding and FATCA withholding below, any gain realized by a Non-U.S. holder on the sale, exchange, redemption, retirement or other disposition of a bond generally will not be subject to U.S. federal income tax, unless:</w:t>
      </w:r>
    </w:p>
    <w:p>
      <w:pPr>
        <w:spacing w:after="0" w:line="53" w:lineRule="exact"/>
        <w:rPr>
          <w:sz w:val="20"/>
          <w:szCs w:val="20"/>
          <w:color w:val="auto"/>
        </w:rPr>
      </w:pPr>
    </w:p>
    <w:p>
      <w:pPr>
        <w:ind w:left="2140" w:right="499" w:hanging="333"/>
        <w:spacing w:after="0" w:line="264"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gain is effectively connected with the Non-U.S. holder’s conduct of a trade or business in the United States and, if the Non-U.S. holder is entitled to the benefits under an applicable tax treaty, is attributable to a permanent establishment or a fixed base in the United States; or</w:t>
      </w:r>
    </w:p>
    <w:p>
      <w:pPr>
        <w:spacing w:after="0" w:line="63"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a period or periods aggregating 183 days or more in the taxable year of the disposition (as determined under the Code) and certain other conditions are satisfied.</w:t>
      </w:r>
    </w:p>
    <w:p>
      <w:pPr>
        <w:spacing w:after="0" w:line="126"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If the first bullet point applies, the Non-U.S. holder generally will be subject to U.S. federal income tax with respect to such gain in the same manner as U.S. holders, as described above, unless an applicable income tax treaty provides otherwise. In addition, if such Non-U.S. holder is classified as a corporation, such Non-U.S. holder may also be subject to the branch profits tax described above. If the second bullet point applies, the Non-U.S. holder generally will be subject to U.S. federal income tax at a rate of 30% (or at a reduced rate under an applicable income tax treaty) on the amount by which capital gains from U.S. sources (including gains from the sale, exchange, redemption, retirement or other disposition of the bonds) exceed capital losses allocable to U.S. sources arising in the taxable year.</w:t>
      </w:r>
    </w:p>
    <w:p>
      <w:pPr>
        <w:spacing w:after="0" w:line="145" w:lineRule="exact"/>
        <w:rPr>
          <w:sz w:val="20"/>
          <w:szCs w:val="20"/>
          <w:color w:val="auto"/>
        </w:rPr>
      </w:pPr>
    </w:p>
    <w:p>
      <w:pPr>
        <w:ind w:left="1400" w:right="519" w:firstLine="340"/>
        <w:spacing w:after="0" w:line="279" w:lineRule="auto"/>
        <w:rPr>
          <w:sz w:val="20"/>
          <w:szCs w:val="20"/>
          <w:color w:val="auto"/>
        </w:rPr>
      </w:pPr>
      <w:r>
        <w:rPr>
          <w:rFonts w:ascii="Times New Roman" w:cs="Times New Roman" w:eastAsia="Times New Roman" w:hAnsi="Times New Roman"/>
          <w:sz w:val="14"/>
          <w:szCs w:val="14"/>
          <w:color w:val="auto"/>
        </w:rPr>
        <w:t>Gain realized on a disposition of a bond will not include amounts that represent accrued but unpaid interest, which will be treated as described under “—Payments on the Bonds” herein.</w:t>
      </w:r>
    </w:p>
    <w:p>
      <w:pPr>
        <w:spacing w:after="0" w:line="20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Payments of interest to a Non-U.S. holder generally will be reported to the IRS and to the Non-U.S. holder. Copies of applicable IRS information returns may be made available under the provisions of a specific tax treaty</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3"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or agreement to the tax authorities of the country in which the Non-U.S. holder resides. Non-U.S. holders are generally exempt from backup withholding, currently at a rate of 24%, and additional information reporting on payments of principal, premium (if any), or interest on a bond and the payment of proceeds from the sale of a bond, provided that the Non-U.S. holder (a) certifies its nonresident status on the appropriate IRS form (or a suitable substitute form) and certain other conditions are met or (b) otherwise establishes an exemption. Backup withholding is not an additional tax. Any backup withholding generally will be allowed as a credit or refund against the Non-U.S. holder’s U.S. federal income tax liability provided that the required information is timely furnished to the IRS.</w:t>
      </w:r>
    </w:p>
    <w:p>
      <w:pPr>
        <w:spacing w:after="0" w:line="2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FATCA Withholding</w:t>
      </w:r>
    </w:p>
    <w:p>
      <w:pPr>
        <w:spacing w:after="0" w:line="91" w:lineRule="exact"/>
        <w:rPr>
          <w:sz w:val="20"/>
          <w:szCs w:val="20"/>
          <w:color w:val="auto"/>
        </w:rPr>
      </w:pPr>
    </w:p>
    <w:p>
      <w:pPr>
        <w:ind w:left="1400" w:right="279" w:firstLine="340"/>
        <w:spacing w:after="0" w:line="250" w:lineRule="auto"/>
        <w:rPr>
          <w:sz w:val="20"/>
          <w:szCs w:val="20"/>
          <w:color w:val="auto"/>
        </w:rPr>
      </w:pPr>
      <w:r>
        <w:rPr>
          <w:rFonts w:ascii="Times New Roman" w:cs="Times New Roman" w:eastAsia="Times New Roman" w:hAnsi="Times New Roman"/>
          <w:sz w:val="14"/>
          <w:szCs w:val="14"/>
          <w:color w:val="auto"/>
        </w:rPr>
        <w:t>Under the Foreign Account Tax Compliance Act provisions of the Code and related Treasury guidance (“FATCA”), a U.S. federal withholding tax of 30% will be imposed in certain circumstances on payments of interest on the bonds.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a bond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We will not be obligated to make any “gross up” or additional payments in respect of amounts withheld on the bonds if we determine that we must so withhold in order to comply with FATCA in respect of the amounts described above.</w:t>
      </w:r>
    </w:p>
    <w:p>
      <w:pPr>
        <w:spacing w:after="0" w:line="151" w:lineRule="exact"/>
        <w:rPr>
          <w:sz w:val="20"/>
          <w:szCs w:val="20"/>
          <w:color w:val="auto"/>
        </w:rPr>
      </w:pPr>
    </w:p>
    <w:p>
      <w:pPr>
        <w:ind w:left="1400" w:right="259" w:firstLine="340"/>
        <w:spacing w:after="0" w:line="259" w:lineRule="auto"/>
        <w:rPr>
          <w:sz w:val="20"/>
          <w:szCs w:val="20"/>
          <w:color w:val="auto"/>
        </w:rPr>
      </w:pPr>
      <w:r>
        <w:rPr>
          <w:rFonts w:ascii="Times New Roman" w:cs="Times New Roman" w:eastAsia="Times New Roman" w:hAnsi="Times New Roman"/>
          <w:sz w:val="14"/>
          <w:szCs w:val="14"/>
          <w:color w:val="auto"/>
        </w:rPr>
        <w:t>Under current provisions of the Code, FATCA withholding tax also can apply to payments of the gross proceeds from a sale or other disposition of obligations that produce U.S.-source interest, such as the bonds. Treasury regulations have been proposed, however, that would eliminate FATCA withholding tax on such gross proceeds. According to the preamble to such proposed Treasury regulations, taxpayers generally may rely on the proposed Treasury regulations until final Treasury regulations are issued (which regulations could be subject to change).</w:t>
      </w:r>
    </w:p>
    <w:p>
      <w:pPr>
        <w:spacing w:after="0" w:line="139" w:lineRule="exact"/>
        <w:rPr>
          <w:sz w:val="20"/>
          <w:szCs w:val="20"/>
          <w:color w:val="auto"/>
        </w:rPr>
      </w:pPr>
    </w:p>
    <w:p>
      <w:pPr>
        <w:ind w:left="1400" w:right="519" w:firstLine="340"/>
        <w:spacing w:after="0" w:line="279" w:lineRule="auto"/>
        <w:rPr>
          <w:sz w:val="20"/>
          <w:szCs w:val="20"/>
          <w:color w:val="auto"/>
        </w:rPr>
      </w:pPr>
      <w:r>
        <w:rPr>
          <w:rFonts w:ascii="Times New Roman" w:cs="Times New Roman" w:eastAsia="Times New Roman" w:hAnsi="Times New Roman"/>
          <w:sz w:val="14"/>
          <w:szCs w:val="14"/>
          <w:color w:val="auto"/>
        </w:rPr>
        <w:t>Prospective purchasers of the bonds should consult their own tax advisors regarding the application of FATCA to the purchase, ownership and disposition of bonds in their particular circumstances.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91"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We intend to offer the bonds through the underwriters named below. Subject to the terms and conditions contained in an underwriting agreement, we have agreed to sell to the underwriters, for whom BNY Mellon Capital Markets, LLC, Regions Securities LLC, TD Securities (USA) LLC and Wells Fargo Securities, LLC are acting as representatives, and the underwriters have agreed to purchase from us, severally and not jointly, the principal amount of the bonds listed opposite their names below.</w:t>
      </w:r>
    </w:p>
    <w:p>
      <w:pPr>
        <w:spacing w:after="0" w:line="156" w:lineRule="exact"/>
        <w:rPr>
          <w:sz w:val="20"/>
          <w:szCs w:val="20"/>
          <w:color w:val="auto"/>
        </w:rPr>
      </w:pPr>
    </w:p>
    <w:tbl>
      <w:tblPr>
        <w:tblLayout w:type="fixed"/>
        <w:tblInd w:w="2760" w:type="dxa"/>
        <w:tblCellMar>
          <w:top w:w="0" w:type="dxa"/>
          <w:left w:w="0" w:type="dxa"/>
          <w:bottom w:w="0" w:type="dxa"/>
          <w:right w:w="0" w:type="dxa"/>
        </w:tblCellMar>
      </w:tblPr>
      <w:tr>
        <w:trPr>
          <w:trHeight w:val="154"/>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Underwriter</w:t>
            </w:r>
          </w:p>
        </w:tc>
        <w:tc>
          <w:tcPr>
            <w:tcW w:w="424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Principal Amount</w:t>
            </w:r>
          </w:p>
        </w:tc>
      </w:tr>
      <w:tr>
        <w:trPr>
          <w:trHeight w:val="148"/>
        </w:trPr>
        <w:tc>
          <w:tcPr>
            <w:tcW w:w="484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BNY Mellon Capital Markets, LLC</w:t>
            </w:r>
          </w:p>
        </w:tc>
        <w:tc>
          <w:tcPr>
            <w:tcW w:w="12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72,000,000</w:t>
            </w:r>
          </w:p>
        </w:tc>
        <w:tc>
          <w:tcPr>
            <w:tcW w:w="60" w:type="dxa"/>
            <w:vAlign w:val="bottom"/>
            <w:tcBorders>
              <w:top w:val="single" w:sz="8" w:color="CCEEFF"/>
            </w:tcBorders>
            <w:shd w:val="clear" w:color="auto" w:fill="CCEEFF"/>
          </w:tcPr>
          <w:p>
            <w:pPr>
              <w:spacing w:after="0"/>
              <w:rPr>
                <w:sz w:val="12"/>
                <w:szCs w:val="12"/>
                <w:color w:val="auto"/>
              </w:rPr>
            </w:pPr>
          </w:p>
        </w:tc>
      </w:tr>
      <w:tr>
        <w:trPr>
          <w:trHeight w:val="167"/>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Regions Securities LLC</w:t>
            </w: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72,000,000</w:t>
            </w:r>
          </w:p>
        </w:tc>
      </w:tr>
      <w:tr>
        <w:trPr>
          <w:trHeight w:val="167"/>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72,000,000</w:t>
            </w:r>
          </w:p>
        </w:tc>
      </w:tr>
      <w:tr>
        <w:trPr>
          <w:trHeight w:val="167"/>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72,000,000</w:t>
            </w:r>
          </w:p>
        </w:tc>
      </w:tr>
      <w:tr>
        <w:trPr>
          <w:trHeight w:val="167"/>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6,000,000</w:t>
            </w:r>
          </w:p>
        </w:tc>
      </w:tr>
      <w:tr>
        <w:trPr>
          <w:trHeight w:val="168"/>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Samuel A. Ramirez &amp; Company, Inc.</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60" w:type="dxa"/>
            <w:vAlign w:val="bottom"/>
          </w:tcPr>
          <w:p>
            <w:pPr>
              <w:spacing w:after="0"/>
              <w:rPr>
                <w:sz w:val="14"/>
                <w:szCs w:val="14"/>
                <w:color w:val="auto"/>
              </w:rPr>
            </w:pPr>
          </w:p>
        </w:tc>
      </w:tr>
      <w:tr>
        <w:trPr>
          <w:trHeight w:val="167"/>
        </w:trPr>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300,000,000</w:t>
            </w:r>
          </w:p>
        </w:tc>
      </w:tr>
      <w:tr>
        <w:trPr>
          <w:trHeight w:val="20"/>
        </w:trPr>
        <w:tc>
          <w:tcPr>
            <w:tcW w:w="6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The underwriters have agreed to purchase all of the bonds sold pursuant to the underwriting agreement if any of these bonds are purchased. If an underwriter defaults, the underwriting agreement provides that the purchase commitments of the non-defaulting underwriters may be increased or the underwriting agreement may be terminated.</w:t>
      </w:r>
    </w:p>
    <w:p>
      <w:pPr>
        <w:spacing w:after="0" w:line="136"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26"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The underwriters are offering the bonds, subject to prior sale, when, as and if issued to and accepted by them, subject to approval of legal matters by their counsel, including the validity of the bonds,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Discount</w:t>
      </w:r>
    </w:p>
    <w:p>
      <w:pPr>
        <w:spacing w:after="0" w:line="91"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We will pay the underwriters a discount of 0.650% per bond. The following table shows the total underwriting discount that we are to pay to the underwriters in connection with this offering.</w:t>
      </w:r>
    </w:p>
    <w:p>
      <w:pPr>
        <w:spacing w:after="0" w:line="143" w:lineRule="exact"/>
        <w:rPr>
          <w:sz w:val="20"/>
          <w:szCs w:val="20"/>
          <w:color w:val="auto"/>
        </w:rPr>
      </w:pPr>
    </w:p>
    <w:tbl>
      <w:tblPr>
        <w:tblLayout w:type="fixed"/>
        <w:tblInd w:w="2760" w:type="dxa"/>
        <w:tblCellMar>
          <w:top w:w="0" w:type="dxa"/>
          <w:left w:w="0" w:type="dxa"/>
          <w:bottom w:w="0" w:type="dxa"/>
          <w:right w:w="0" w:type="dxa"/>
        </w:tblCellMar>
      </w:tblPr>
      <w:tr>
        <w:trPr>
          <w:trHeight w:val="134"/>
        </w:trPr>
        <w:tc>
          <w:tcPr>
            <w:tcW w:w="2760" w:type="dxa"/>
            <w:vAlign w:val="bottom"/>
            <w:tcBorders>
              <w:bottom w:val="single" w:sz="8" w:color="CCEEFF"/>
            </w:tcBorders>
          </w:tcPr>
          <w:p>
            <w:pPr>
              <w:spacing w:after="0"/>
              <w:rPr>
                <w:sz w:val="11"/>
                <w:szCs w:val="11"/>
                <w:color w:val="auto"/>
              </w:rPr>
            </w:pPr>
          </w:p>
        </w:tc>
        <w:tc>
          <w:tcPr>
            <w:tcW w:w="22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Paid by Us</w:t>
            </w:r>
          </w:p>
        </w:tc>
        <w:tc>
          <w:tcPr>
            <w:tcW w:w="160" w:type="dxa"/>
            <w:vAlign w:val="bottom"/>
            <w:tcBorders>
              <w:bottom w:val="single" w:sz="8" w:color="CCEEFF"/>
            </w:tcBorders>
          </w:tcPr>
          <w:p>
            <w:pPr>
              <w:spacing w:after="0"/>
              <w:rPr>
                <w:sz w:val="11"/>
                <w:szCs w:val="11"/>
                <w:color w:val="auto"/>
              </w:rPr>
            </w:pPr>
          </w:p>
        </w:tc>
      </w:tr>
      <w:tr>
        <w:trPr>
          <w:trHeight w:val="157"/>
        </w:trPr>
        <w:tc>
          <w:tcPr>
            <w:tcW w:w="27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Per bond</w:t>
            </w:r>
          </w:p>
        </w:tc>
        <w:tc>
          <w:tcPr>
            <w:tcW w:w="2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rPr>
              <w:t>0.650%</w:t>
            </w:r>
          </w:p>
        </w:tc>
      </w:tr>
      <w:tr>
        <w:trPr>
          <w:trHeight w:val="182"/>
        </w:trPr>
        <w:tc>
          <w:tcPr>
            <w:tcW w:w="2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$1,950,000</w:t>
            </w:r>
          </w:p>
        </w:tc>
        <w:tc>
          <w:tcPr>
            <w:tcW w:w="160" w:type="dxa"/>
            <w:vAlign w:val="bottom"/>
          </w:tcPr>
          <w:p>
            <w:pPr>
              <w:spacing w:after="0"/>
              <w:rPr>
                <w:sz w:val="15"/>
                <w:szCs w:val="15"/>
                <w:color w:val="auto"/>
              </w:rPr>
            </w:pPr>
          </w:p>
        </w:tc>
      </w:tr>
    </w:tbl>
    <w:p>
      <w:pPr>
        <w:spacing w:after="0" w:line="137"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Bonds sold by the underwriters to the public will initially be offered at the initial price to the public set forth on the cover of this prospectus supplement. Any bonds sold by the underwriters to securities dealers may be sold at a discount from the initial price to the public of up to 0.400% of the principal amount of the bonds. Any such securities dealers may resell any bonds purchased from the underwriters to certain other brokers or dealers at a discount from the initial price to the public of up to 0.250% of the principal amount of the bonds. If all the bonds are not sold at the initial price to the public, the underwriters may change the offering price and the other selling terms.</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expenses of this offering, not including the underwriting discount, are estimated to be approximately $655,000 and are payable by us.</w:t>
      </w:r>
    </w:p>
    <w:p>
      <w:pPr>
        <w:spacing w:after="0" w:line="173" w:lineRule="exact"/>
        <w:rPr>
          <w:sz w:val="20"/>
          <w:szCs w:val="20"/>
          <w:color w:val="auto"/>
        </w:rPr>
      </w:pPr>
    </w:p>
    <w:p>
      <w:pPr>
        <w:ind w:left="1400" w:right="719" w:firstLine="340"/>
        <w:spacing w:after="0" w:line="279" w:lineRule="auto"/>
        <w:rPr>
          <w:sz w:val="20"/>
          <w:szCs w:val="20"/>
          <w:color w:val="auto"/>
        </w:rPr>
      </w:pPr>
      <w:r>
        <w:rPr>
          <w:rFonts w:ascii="Times New Roman" w:cs="Times New Roman" w:eastAsia="Times New Roman" w:hAnsi="Times New Roman"/>
          <w:sz w:val="14"/>
          <w:szCs w:val="14"/>
          <w:color w:val="auto"/>
        </w:rPr>
        <w:t>The bonds will form a single series with the existing bonds, which have a limited trading market. We do not intend to list the bonds on any securities exchange or seek their quotation on any automated dealer quotation</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9" w:lineRule="auto"/>
        <w:rPr>
          <w:sz w:val="20"/>
          <w:szCs w:val="20"/>
          <w:color w:val="auto"/>
        </w:rPr>
      </w:pPr>
      <w:r>
        <w:rPr>
          <w:rFonts w:ascii="Times New Roman" w:cs="Times New Roman" w:eastAsia="Times New Roman" w:hAnsi="Times New Roman"/>
          <w:sz w:val="14"/>
          <w:szCs w:val="14"/>
          <w:color w:val="auto"/>
        </w:rPr>
        <w:t>system. The underwriters have advised us that they intend to make a market in the bonds, but they are not obligated to do so. At their sole discretion, the underwriters may discontinue any market making in the bonds at any time without notice. Accordingly, we cannot assure you that a liquid trading market will develop for the bonds, that you will be able to sell your bonds at a particular time or that the price you receive when you sell will be favorable.</w:t>
      </w:r>
    </w:p>
    <w:p>
      <w:pPr>
        <w:spacing w:after="0" w:line="139" w:lineRule="exact"/>
        <w:rPr>
          <w:sz w:val="20"/>
          <w:szCs w:val="20"/>
          <w:color w:val="auto"/>
        </w:rPr>
      </w:pPr>
    </w:p>
    <w:p>
      <w:pPr>
        <w:ind w:left="1400" w:right="399" w:firstLine="340"/>
        <w:spacing w:after="0" w:line="253" w:lineRule="auto"/>
        <w:rPr>
          <w:sz w:val="20"/>
          <w:szCs w:val="20"/>
          <w:color w:val="auto"/>
        </w:rPr>
      </w:pPr>
      <w:r>
        <w:rPr>
          <w:rFonts w:ascii="Times New Roman" w:cs="Times New Roman" w:eastAsia="Times New Roman" w:hAnsi="Times New Roman"/>
          <w:sz w:val="14"/>
          <w:szCs w:val="14"/>
          <w:color w:val="auto"/>
        </w:rPr>
        <w:t>In connection with the offering of the bonds, the underwriters may engage in transactions that stabilize, maintain or otherwise affect the price of the bonds. Specifically, the underwriters may overallot in connection with the offering of the bonds, creating syndicate short positions. In addition, the underwriters may bid for and purchase bonds in the open market to cover syndicate short positions or to stabilize the price of the bonds. Finally, the underwriting syndicate may reclaim selling concessions allowed for distributing the bonds in this offering if the syndicate repurchases previously distributed bonds in syndicate covering transactions, stabilizing transactions or otherwise. Any of these activities may stabilize or maintain the market price of the bonds above independent market levels. The underwriters are not required to engage in any of these activities, and may end any of them at any time without notice.</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1" w:lineRule="exact"/>
        <w:rPr>
          <w:sz w:val="20"/>
          <w:szCs w:val="20"/>
          <w:color w:val="auto"/>
        </w:rPr>
      </w:pPr>
    </w:p>
    <w:p>
      <w:pPr>
        <w:ind w:left="1400" w:right="419" w:firstLine="340"/>
        <w:spacing w:after="0" w:line="259"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corporate trust, investment management, investment research, principal investment, hedging, financing and brokerage activities. In addition, BNY Mellon Capital Markets, LLC, one of the underwriters for this offering, is an affiliate of the trustee.</w:t>
      </w:r>
    </w:p>
    <w:p>
      <w:pPr>
        <w:spacing w:after="0" w:line="139" w:lineRule="exact"/>
        <w:rPr>
          <w:sz w:val="20"/>
          <w:szCs w:val="20"/>
          <w:color w:val="auto"/>
        </w:rPr>
      </w:pPr>
    </w:p>
    <w:p>
      <w:pPr>
        <w:ind w:left="1400" w:right="319" w:firstLine="340"/>
        <w:spacing w:after="0" w:line="250" w:lineRule="auto"/>
        <w:rPr>
          <w:sz w:val="20"/>
          <w:szCs w:val="20"/>
          <w:color w:val="auto"/>
        </w:rPr>
      </w:pPr>
      <w:r>
        <w:rPr>
          <w:rFonts w:ascii="Times New Roman" w:cs="Times New Roman" w:eastAsia="Times New Roman" w:hAnsi="Times New Roman"/>
          <w:sz w:val="14"/>
          <w:szCs w:val="14"/>
          <w:color w:val="auto"/>
        </w:rPr>
        <w:t>The underwriters and their affiliates have provided and in the future may continue to provide investment banking, commercial banking, corporate trust and other financial services, including the provision of credit facilities, to us and our affiliates in the ordinary course of business for which they have received and will receive customary compensation. In connection with these arrangements, affiliates of certain of the underwriters act as lenders. Certain of the underwriters and their respective affiliates are lenders or agents under a master revolving credit agreement entered into with Evergy, Evergy Kansas Central and two other subsidiaries of Evergy. 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bonds offered hereby. Any such credit default swaps or short positions could adversely affect future trading prices of the bonds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w:t>
      </w:r>
    </w:p>
    <w:p>
      <w:pPr>
        <w:spacing w:after="0" w:line="2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1"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Certain of the underwriters or their affiliates may hold a portion of our outstanding commercial paper that may be repaid using the net proceeds of this offering. In such event, it is possible that one or more of the underwriters or their affiliates could receive 5% or more of the net proceeds of this offering, and in that case such underwriter would be deemed to have a conflict of interest under FINRA Rule 5121 (Public Offerings of Securities with Conflicts of Interest). In the event of any such conflict of interest, such underwriter would be</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8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64" w:lineRule="auto"/>
        <w:rPr>
          <w:sz w:val="20"/>
          <w:szCs w:val="20"/>
          <w:color w:val="auto"/>
        </w:rPr>
      </w:pPr>
      <w:r>
        <w:rPr>
          <w:rFonts w:ascii="Times New Roman" w:cs="Times New Roman" w:eastAsia="Times New Roman" w:hAnsi="Times New Roman"/>
          <w:sz w:val="14"/>
          <w:szCs w:val="14"/>
          <w:color w:val="auto"/>
        </w:rPr>
        <w:t>required to conduct the distribution of the bonds in accordance with FINRA Rule 5121. If FINRA Rule 5121 is applicable, such underwriter would not be permitted to confirm a sale to an account over which it exercises discretionary authority without first receiving specific written approval from the account holder.</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91"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Delivery of the bonds is expected to be made against payment therefor on or about the settlement date set forth on the cover page of this prospectus supplement, which will be the fourth business day following the date of this prospectus supplement (“T+4”). Under Rule 15c6-1 under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T+4, to specify alternative settlement arrangements to prevent a failed settlement.</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91" w:lineRule="exact"/>
        <w:rPr>
          <w:sz w:val="20"/>
          <w:szCs w:val="20"/>
          <w:color w:val="auto"/>
        </w:rPr>
      </w:pPr>
    </w:p>
    <w:p>
      <w:pPr>
        <w:ind w:left="1400" w:right="579" w:firstLine="340"/>
        <w:spacing w:after="0" w:line="259" w:lineRule="auto"/>
        <w:rPr>
          <w:sz w:val="20"/>
          <w:szCs w:val="20"/>
          <w:color w:val="auto"/>
        </w:rPr>
      </w:pPr>
      <w:r>
        <w:rPr>
          <w:rFonts w:ascii="Times New Roman" w:cs="Times New Roman" w:eastAsia="Times New Roman" w:hAnsi="Times New Roman"/>
          <w:sz w:val="14"/>
          <w:szCs w:val="14"/>
          <w:color w:val="auto"/>
        </w:rPr>
        <w:t xml:space="preserve">The bonds may be sold only to purchasers purchasing, or deemed to be purchasing, as principal that are accredited investors, as defined in National Instrument 45-106 </w:t>
      </w:r>
      <w:r>
        <w:rPr>
          <w:rFonts w:ascii="Times New Roman" w:cs="Times New Roman" w:eastAsia="Times New Roman" w:hAnsi="Times New Roman"/>
          <w:sz w:val="14"/>
          <w:szCs w:val="14"/>
          <w:i w:val="1"/>
          <w:iCs w:val="1"/>
          <w:color w:val="auto"/>
        </w:rPr>
        <w:t>Prospectus Exemptions</w:t>
      </w:r>
      <w:r>
        <w:rPr>
          <w:rFonts w:ascii="Times New Roman" w:cs="Times New Roman" w:eastAsia="Times New Roman" w:hAnsi="Times New Roman"/>
          <w:sz w:val="14"/>
          <w:szCs w:val="14"/>
          <w:color w:val="auto"/>
        </w:rPr>
        <w:t xml:space="preserve"> or subsection 73.3(1) of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(Ontario), and are permitted clients, as defined in National Instrument 31-103 </w:t>
      </w:r>
      <w:r>
        <w:rPr>
          <w:rFonts w:ascii="Times New Roman" w:cs="Times New Roman" w:eastAsia="Times New Roman" w:hAnsi="Times New Roman"/>
          <w:sz w:val="14"/>
          <w:szCs w:val="14"/>
          <w:i w:val="1"/>
          <w:iCs w:val="1"/>
          <w:color w:val="auto"/>
        </w:rPr>
        <w:t>Registration Requirements, Exemptions and Ongoing Registrant Obligations</w:t>
      </w:r>
      <w:r>
        <w:rPr>
          <w:rFonts w:ascii="Times New Roman" w:cs="Times New Roman" w:eastAsia="Times New Roman" w:hAnsi="Times New Roman"/>
          <w:sz w:val="14"/>
          <w:szCs w:val="14"/>
          <w:color w:val="auto"/>
        </w:rPr>
        <w:t>. Any resale of the bonds must be made in accordance with an exemption from, or in a transaction not subject to, the prospectus requirements of applicable securities laws.</w:t>
      </w:r>
    </w:p>
    <w:p>
      <w:pPr>
        <w:spacing w:after="0" w:line="139"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0" w:lineRule="exact"/>
        <w:rPr>
          <w:sz w:val="20"/>
          <w:szCs w:val="20"/>
          <w:color w:val="auto"/>
        </w:rPr>
      </w:pPr>
    </w:p>
    <w:p>
      <w:pPr>
        <w:ind w:left="1400" w:right="339" w:firstLine="340"/>
        <w:spacing w:after="0" w:line="282" w:lineRule="auto"/>
        <w:rPr>
          <w:sz w:val="20"/>
          <w:szCs w:val="20"/>
          <w:color w:val="auto"/>
        </w:rPr>
      </w:pPr>
      <w:r>
        <w:rPr>
          <w:rFonts w:ascii="Times New Roman" w:cs="Times New Roman" w:eastAsia="Times New Roman" w:hAnsi="Times New Roman"/>
          <w:sz w:val="14"/>
          <w:szCs w:val="14"/>
          <w:color w:val="auto"/>
        </w:rPr>
        <w:t xml:space="preserve">Pursuant to section 3A.3 of National Instrument 33-105 </w:t>
      </w:r>
      <w:r>
        <w:rPr>
          <w:rFonts w:ascii="Times New Roman" w:cs="Times New Roman" w:eastAsia="Times New Roman" w:hAnsi="Times New Roman"/>
          <w:sz w:val="14"/>
          <w:szCs w:val="14"/>
          <w:i w:val="1"/>
          <w:iCs w:val="1"/>
          <w:color w:val="auto"/>
        </w:rPr>
        <w:t>Underwriting Conflicts</w:t>
      </w:r>
      <w:r>
        <w:rPr>
          <w:rFonts w:ascii="Times New Roman" w:cs="Times New Roman" w:eastAsia="Times New Roman" w:hAnsi="Times New Roman"/>
          <w:sz w:val="14"/>
          <w:szCs w:val="14"/>
          <w:color w:val="auto"/>
        </w:rPr>
        <w:t xml:space="preserve"> (NI 33-105), the underwriters are not required to comply with the disclosure requirements of NI 33-105 regarding underwriter conflicts of interest in connection with this offering.</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91" w:lineRule="exact"/>
        <w:rPr>
          <w:sz w:val="20"/>
          <w:szCs w:val="20"/>
          <w:color w:val="auto"/>
        </w:rPr>
      </w:pPr>
    </w:p>
    <w:p>
      <w:pPr>
        <w:ind w:left="1400" w:right="319" w:firstLine="340"/>
        <w:spacing w:after="0" w:line="252" w:lineRule="auto"/>
        <w:rPr>
          <w:sz w:val="20"/>
          <w:szCs w:val="20"/>
          <w:color w:val="auto"/>
        </w:rPr>
      </w:pPr>
      <w:r>
        <w:rPr>
          <w:rFonts w:ascii="Times New Roman" w:cs="Times New Roman" w:eastAsia="Times New Roman" w:hAnsi="Times New Roman"/>
          <w:sz w:val="14"/>
          <w:szCs w:val="14"/>
          <w:color w:val="auto"/>
        </w:rPr>
        <w:t>The bonds are not intended to be offered, sold or otherwise made available to and should not be offered, sold or otherwise made available to any retail investor in the European Economic Area. For these purposes: (a) the expression “retail investor” means a person who is one (or more) of: (i) a retail client as defined in point (11) of Article 4(1) of Directive 2014/65/EU (as amended, “MiFID II”);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and (b) the expression “offer” includes the communication of in any form and by any means of sufficient information on the terms of the offer and the bonds to be offered so as to enable an investor to decide to purchase or subscribe for the bonds. Consequently no key information document required by Regulation (EU) No 1286/2014 (as amended, the “PRIIPs Regulation”) for offering or selling the bonds or otherwise making them available to retail investors in the European Economic Area has been prepared and therefore offering or selling the bonds or otherwise making them available to any retail investor in the European Economic Area may be unlawful under the PRIIPS Regulation.</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8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been prepared on the basis that any offer of bonds in any member state of the European Economic Area will be made pursuant to an exemption under the Prospectus Regulation from the requirement to publish a prospectus for offers of bonds. This prospectus supplement and the accompanying prospectus are not a prospectus for the purposes of the Prospectus Regulation.</w:t>
      </w:r>
    </w:p>
    <w:p>
      <w:pPr>
        <w:spacing w:after="0" w:line="2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91" w:lineRule="exact"/>
        <w:rPr>
          <w:sz w:val="20"/>
          <w:szCs w:val="20"/>
          <w:color w:val="auto"/>
        </w:rPr>
      </w:pPr>
    </w:p>
    <w:p>
      <w:pPr>
        <w:ind w:left="1400" w:right="299" w:firstLine="340"/>
        <w:spacing w:after="0" w:line="271" w:lineRule="auto"/>
        <w:rPr>
          <w:sz w:val="20"/>
          <w:szCs w:val="20"/>
          <w:color w:val="auto"/>
        </w:rPr>
      </w:pPr>
      <w:r>
        <w:rPr>
          <w:rFonts w:ascii="Times New Roman" w:cs="Times New Roman" w:eastAsia="Times New Roman" w:hAnsi="Times New Roman"/>
          <w:sz w:val="13"/>
          <w:szCs w:val="13"/>
          <w:color w:val="auto"/>
        </w:rPr>
        <w:t>The bonds are not intended to be offered, sold or otherwise made available to and should not be offered, sold or otherwise made available to any retail investor in the United Kingdom (the “UK”). For these purposes: (a) the expression “retail investor” means a person who is one (or more) of: (i) a retail client, as defined in point (8) of Article 2 of Regulation (EU) No 2017/565 as it forms part of domestic law by virtue of the European Union (Withdrawal) Act 2018 (as amended, the “EUWA”); (ii) 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the Prospectus Regulation as it forms part of domestic law by virtue of the EUWA and regulations made thereunder (the “UK Prospectus Regulation”); and (b) the expression “offer” includes the communication of in any form and by any means of sufficient information on the terms of the offer and the bonds to be offered so as to enable an investor to decide to purchase or subscribe for the bonds. Consequently no key information document required by the PRIIPs Regulation as it forms part of domestic law by virtue of the EUWA (the “UK PRIIPs Regulation”) for offering or selling the bonds or otherwise making them available to retail investors in the UK has been prepared and therefore offering or selling the bonds or otherwise making them available to any retail investor in the UK may be unlawful under the UK PRIIPs Regulation. This prospectus supplement has been prepared on the basis that any offer of the bonds in the UK will be made pursuant to an exemption under the FSMA and the UK Prospectus Regulation from the requirement to publish a prospectus for offers of the bonds. Neither this prospectus supplement nor the accompanying prospectus is a prospectus for the purposes of the FSMA or the UK Prospectus Regulation.</w:t>
      </w:r>
    </w:p>
    <w:p>
      <w:pPr>
        <w:spacing w:after="0" w:line="306"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for distribution only to persons in the United Kingdom who are qualified investors (as defined in the UK Prospectus Regulation) and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or (iii)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Israel</w:t>
      </w:r>
    </w:p>
    <w:p>
      <w:pPr>
        <w:spacing w:after="0" w:line="91" w:lineRule="exact"/>
        <w:rPr>
          <w:sz w:val="20"/>
          <w:szCs w:val="20"/>
          <w:color w:val="auto"/>
        </w:rPr>
      </w:pPr>
    </w:p>
    <w:p>
      <w:pPr>
        <w:ind w:left="1400" w:right="259" w:firstLine="340"/>
        <w:spacing w:after="0" w:line="278"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do not constitute a prospectus under the Israeli Securities Law, 5728-1968 (the “Securities Law”), and have not been filed with or approved by the Israel Securities Authority. In Israel, this prospectus supplement and the accompanying prospectus are being distributed only to, and are directed only at, and any offer of the bonds is directed only at (i) a limited number of persons in accordance with the Securities Law and (ii) investors listed in the first addendum (as it may be amended from time to time,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w:t>
      </w:r>
    </w:p>
    <w:p>
      <w:pPr>
        <w:spacing w:after="0" w:line="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3"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319"/>
        <w:spacing w:after="0" w:line="264" w:lineRule="auto"/>
        <w:rPr>
          <w:sz w:val="20"/>
          <w:szCs w:val="20"/>
          <w:color w:val="auto"/>
        </w:rPr>
      </w:pPr>
      <w:r>
        <w:rPr>
          <w:rFonts w:ascii="Times New Roman" w:cs="Times New Roman" w:eastAsia="Times New Roman" w:hAnsi="Times New Roman"/>
          <w:sz w:val="14"/>
          <w:szCs w:val="14"/>
          <w:color w:val="auto"/>
        </w:rPr>
        <w:t>“qualified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91"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The bonds have not been and will not be registered under the Financial Instruments and Exchange Law of Japan (Law No. 25 of 1948, as amended) (the “Financial Instruments and Exchange Law”) and the bonds have not been offered or sold and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the account or for the benefit of a resident of Japan, except pursuant to an exemption from the registration requirements of, and otherwise in compliance with, the Financial Instruments and Exchange Law and any other applicable laws, regulations and ministerial guidelines of Japan in effect at the relevant time.</w:t>
      </w:r>
    </w:p>
    <w:p>
      <w:pPr>
        <w:spacing w:after="0" w:line="2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91"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not intended to constitute an offer or solicitation to purchase or invest in the bonds. The bonds may not be publicly offered, directly or indirectly, in Switzerland within the meaning of the Swiss Financial Services Act (“FinSA”) and no application has or will be made to admit the bonds to trading on any trading venue (exchange or multilateral trading facility) in Switzerland. Neither this prospectus supplement, the accompanying prospectus nor any other offering or marketing material relating to the bonds constitutes a prospectus pursuant to the FinSA or a listing prospectus within the meaning of the listing rules of the Swiss Exchange or any other regulated trading facility in Switzerland, and neither this prospectus supplement, the accompanying prospectus nor any other offering or marketing material relating to the bonds may be publicly distributed or otherwise made publicly available in Switzerland.</w:t>
      </w:r>
    </w:p>
    <w:p>
      <w:pPr>
        <w:spacing w:after="0" w:line="2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Taiwan</w:t>
      </w:r>
    </w:p>
    <w:p>
      <w:pPr>
        <w:spacing w:after="0" w:line="91"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The bonds have not been and will not be registered or filed with, or approved by,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or filing with or the approval of the Financial Supervisory Commission of Taiwan. No person or entity in Taiwan has been authorized or will be authorized to offer, sell, give advice regarding or otherwise intermediate the offering or sale of the bonds in Taiwan.</w:t>
      </w:r>
    </w:p>
    <w:p>
      <w:pPr>
        <w:spacing w:after="0" w:line="2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Arab Emirates</w:t>
      </w:r>
    </w:p>
    <w:p>
      <w:pPr>
        <w:spacing w:after="0" w:line="9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The bonds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3"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5"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Certain legal matters in connection with the offering of the bonds will be passed upon for us by Heather A. Humphrey, Senior Vice President, General Counsel and Corporate Secretary, of the Company, and Hunton Andrews Kurth LLP, New York, New York. Certain legal matters will be passed upon for the underwriters by Bracewell LLP, New York, New York. From time to time, Bracewell LLP acts as counsel for us or our affiliates for various matters. At November 14, 2025, Ms. Humphrey owned beneficially a number of shares of common stock of Evergy including restricted stock and performance shares that may be paid in shares of common stock at a later date based on Evergy’s performance, which represented less than 0.1% of the total outstanding common stock of Evergy.</w:t>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5"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The financial statements of Evergy Kansas Central, Inc. and subsidiaries as of December 31, 2024 and 2023, and for each of the three years in the period ended December 31, 2024, incorporated by reference in this prospectus supplement, have been audited by Deloitte &amp; Touche LLP, an independent registered public accounting firm, as stated in their report, which is also incorporated by reference herein. Such financial statements are incorporated by reference in reliance upon the report of such firm given their authority as experts in accounting and auditing.</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8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EVERGY KANSAS CENTRAL, INC.</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Unsecured Senior Debt Securities</w:t>
      </w:r>
    </w:p>
    <w:p>
      <w:pPr>
        <w:spacing w:after="0" w:line="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Unsecured Subordinated Debt Securities</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First Mortgage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176530</wp:posOffset>
            </wp:positionV>
            <wp:extent cx="113855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These securities are not obligations of, or guaranteed by, Evergy, Inc., our corporate parent.</w:t>
      </w:r>
    </w:p>
    <w:p>
      <w:pPr>
        <w:spacing w:after="0" w:line="175" w:lineRule="exact"/>
        <w:rPr>
          <w:sz w:val="20"/>
          <w:szCs w:val="20"/>
          <w:color w:val="auto"/>
        </w:rPr>
      </w:pPr>
    </w:p>
    <w:p>
      <w:pPr>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Evergy Kansas Central, Inc. (“Evergy Kansas Central”) may offer and sell, from time to time, unsecured senior debt securities, unsecured subordinated debt securities and first mortgage bonds in one or more offerings. We may offer the securities simultaneously or at different times, in one or more separate series, in amounts, at prices and on terms to be determined at or prior to the time or times of sale.</w:t>
      </w:r>
    </w:p>
    <w:p>
      <w:pPr>
        <w:spacing w:after="0" w:line="136"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these securities. We will provide specific information about the offerings and the terms of these securities in one or more supplements to this prospectus. The supplements may also add, update or change information contained in this prospectus. This prospectus may not be used to offer and sell our securities unless accompanied by a prospectus supplement. You should read this prospectus and the related prospectus supplements before you invest in these securities.</w:t>
      </w:r>
    </w:p>
    <w:p>
      <w:pPr>
        <w:spacing w:after="0" w:line="1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principal executive offices are located at 818 South Kansas Avenue, Topeka, Kansas 66612. Our telephone number is (785) 575-6300.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185420</wp:posOffset>
            </wp:positionV>
            <wp:extent cx="113855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400" w:right="579" w:firstLine="340"/>
        <w:spacing w:after="0" w:line="261" w:lineRule="auto"/>
        <w:rPr>
          <w:sz w:val="20"/>
          <w:szCs w:val="20"/>
          <w:color w:val="auto"/>
        </w:rPr>
      </w:pPr>
      <w:r>
        <w:rPr>
          <w:rFonts w:ascii="Times New Roman" w:cs="Times New Roman" w:eastAsia="Times New Roman" w:hAnsi="Times New Roman"/>
          <w:sz w:val="17"/>
          <w:szCs w:val="17"/>
          <w:b w:val="1"/>
          <w:bCs w:val="1"/>
          <w:color w:val="auto"/>
        </w:rPr>
        <w:t>Investing in these securities involves risks. You should carefully consider the information referred to under the heading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5 of this prospectus.</w:t>
      </w:r>
    </w:p>
    <w:p>
      <w:pPr>
        <w:spacing w:after="0" w:line="127"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We may offer and sell these securities through one or more underwriters, dealers or agents, or directly to purchasers, on a continuous or delayed basis. We will set forth in the related prospectus supplement the specific terms of the plan of distribution, including the name of the underwriters, dealers or agents, the discount or commission received by them from us as compensation, our other expenses for the offering and sale of these securities and the net proceeds we receive from the sale. See “Plan of Distribution.”</w:t>
      </w:r>
    </w:p>
    <w:p>
      <w:pPr>
        <w:spacing w:after="0" w:line="137" w:lineRule="exact"/>
        <w:rPr>
          <w:sz w:val="20"/>
          <w:szCs w:val="20"/>
          <w:color w:val="auto"/>
        </w:rPr>
      </w:pPr>
    </w:p>
    <w:p>
      <w:pPr>
        <w:ind w:left="1400" w:right="379" w:firstLine="340"/>
        <w:spacing w:after="0" w:line="28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161290</wp:posOffset>
            </wp:positionV>
            <wp:extent cx="113855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39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16, 2024.</w:t>
      </w:r>
    </w:p>
    <w:p>
      <w:pPr>
        <w:sectPr>
          <w:pgSz w:w="11900" w:h="16838" w:orient="portrait"/>
          <w:cols w:equalWidth="0" w:num="1">
            <w:col w:w="10159"/>
          </w:cols>
          <w:pgMar w:left="300" w:top="383"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8" w:lineRule="exact"/>
        <w:rPr>
          <w:sz w:val="20"/>
          <w:szCs w:val="20"/>
          <w:color w:val="auto"/>
        </w:rPr>
      </w:pPr>
    </w:p>
    <w:tbl>
      <w:tblPr>
        <w:tblLayout w:type="fixed"/>
        <w:tblInd w:w="1400" w:type="dxa"/>
        <w:tblCellMar>
          <w:top w:w="0" w:type="dxa"/>
          <w:left w:w="0" w:type="dxa"/>
          <w:bottom w:w="0" w:type="dxa"/>
          <w:right w:w="0" w:type="dxa"/>
        </w:tblCellMar>
      </w:tblPr>
      <w:tr>
        <w:trPr>
          <w:trHeight w:val="127"/>
        </w:trPr>
        <w:tc>
          <w:tcPr>
            <w:tcW w:w="824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0000EE"/>
              </w:rPr>
              <w:t>A</w:t>
            </w:r>
            <w:r>
              <w:rPr>
                <w:rFonts w:ascii="Times New Roman" w:cs="Times New Roman" w:eastAsia="Times New Roman" w:hAnsi="Times New Roman"/>
                <w:sz w:val="11"/>
                <w:szCs w:val="11"/>
                <w:color w:val="0000EE"/>
              </w:rPr>
              <w:t>BOUT</w:t>
            </w:r>
            <w:r>
              <w:rPr>
                <w:rFonts w:ascii="Times New Roman" w:cs="Times New Roman" w:eastAsia="Times New Roman" w:hAnsi="Times New Roman"/>
                <w:sz w:val="14"/>
                <w:szCs w:val="14"/>
                <w:color w:val="0000EE"/>
              </w:rPr>
              <w:t xml:space="preserve"> T</w:t>
            </w:r>
            <w:r>
              <w:rPr>
                <w:rFonts w:ascii="Times New Roman" w:cs="Times New Roman" w:eastAsia="Times New Roman" w:hAnsi="Times New Roman"/>
                <w:sz w:val="11"/>
                <w:szCs w:val="11"/>
                <w:color w:val="0000EE"/>
              </w:rPr>
              <w:t>HIS</w:t>
            </w:r>
            <w:r>
              <w:rPr>
                <w:rFonts w:ascii="Times New Roman" w:cs="Times New Roman" w:eastAsia="Times New Roman" w:hAnsi="Times New Roman"/>
                <w:sz w:val="14"/>
                <w:szCs w:val="14"/>
                <w:color w:val="0000EE"/>
              </w:rPr>
              <w:t xml:space="preserve"> P</w:t>
            </w:r>
            <w:r>
              <w:rPr>
                <w:rFonts w:ascii="Times New Roman" w:cs="Times New Roman" w:eastAsia="Times New Roman" w:hAnsi="Times New Roman"/>
                <w:sz w:val="11"/>
                <w:szCs w:val="11"/>
                <w:color w:val="0000EE"/>
              </w:rPr>
              <w:t>ROSPECTUS</w:t>
            </w:r>
          </w:p>
        </w:tc>
        <w:tc>
          <w:tcPr>
            <w:tcW w:w="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25"/>
        </w:trPr>
        <w:tc>
          <w:tcPr>
            <w:tcW w:w="8240" w:type="dxa"/>
            <w:vAlign w:val="bottom"/>
            <w:gridSpan w:val="13"/>
            <w:vMerge w:val="continue"/>
          </w:tcPr>
          <w:p>
            <w:pPr>
              <w:spacing w:after="0"/>
              <w:rPr>
                <w:sz w:val="10"/>
                <w:szCs w:val="10"/>
                <w:color w:val="auto"/>
              </w:rPr>
            </w:pPr>
          </w:p>
        </w:tc>
        <w:tc>
          <w:tcPr>
            <w:tcW w:w="2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40" w:type="dxa"/>
            <w:vAlign w:val="bottom"/>
            <w:gridSpan w:val="13"/>
          </w:tcPr>
          <w:p>
            <w:pPr>
              <w:spacing w:after="0" w:line="157" w:lineRule="exact"/>
              <w:rPr>
                <w:sz w:val="20"/>
                <w:szCs w:val="20"/>
                <w:color w:val="auto"/>
              </w:rPr>
            </w:pPr>
            <w:r>
              <w:rPr>
                <w:rFonts w:ascii="Times New Roman" w:cs="Times New Roman" w:eastAsia="Times New Roman" w:hAnsi="Times New Roman"/>
                <w:sz w:val="14"/>
                <w:szCs w:val="14"/>
                <w:color w:val="0000EE"/>
              </w:rPr>
              <w:t>C</w:t>
            </w:r>
            <w:r>
              <w:rPr>
                <w:rFonts w:ascii="Times New Roman" w:cs="Times New Roman" w:eastAsia="Times New Roman" w:hAnsi="Times New Roman"/>
                <w:sz w:val="11"/>
                <w:szCs w:val="11"/>
                <w:color w:val="0000EE"/>
              </w:rPr>
              <w:t>AUTIONARY</w:t>
            </w:r>
            <w:r>
              <w:rPr>
                <w:rFonts w:ascii="Times New Roman" w:cs="Times New Roman" w:eastAsia="Times New Roman" w:hAnsi="Times New Roman"/>
                <w:sz w:val="14"/>
                <w:szCs w:val="14"/>
                <w:color w:val="0000EE"/>
              </w:rPr>
              <w:t xml:space="preserve"> S</w:t>
            </w:r>
            <w:r>
              <w:rPr>
                <w:rFonts w:ascii="Times New Roman" w:cs="Times New Roman" w:eastAsia="Times New Roman" w:hAnsi="Times New Roman"/>
                <w:sz w:val="11"/>
                <w:szCs w:val="11"/>
                <w:color w:val="0000EE"/>
              </w:rPr>
              <w:t>TATEMENTS</w:t>
            </w:r>
            <w:r>
              <w:rPr>
                <w:rFonts w:ascii="Times New Roman" w:cs="Times New Roman" w:eastAsia="Times New Roman" w:hAnsi="Times New Roman"/>
                <w:sz w:val="14"/>
                <w:szCs w:val="14"/>
                <w:color w:val="0000EE"/>
              </w:rPr>
              <w:t xml:space="preserve"> R</w:t>
            </w:r>
            <w:r>
              <w:rPr>
                <w:rFonts w:ascii="Times New Roman" w:cs="Times New Roman" w:eastAsia="Times New Roman" w:hAnsi="Times New Roman"/>
                <w:sz w:val="11"/>
                <w:szCs w:val="11"/>
                <w:color w:val="0000EE"/>
              </w:rPr>
              <w:t>EGARDING</w:t>
            </w:r>
            <w:r>
              <w:rPr>
                <w:rFonts w:ascii="Times New Roman" w:cs="Times New Roman" w:eastAsia="Times New Roman" w:hAnsi="Times New Roman"/>
                <w:sz w:val="14"/>
                <w:szCs w:val="14"/>
                <w:color w:val="0000EE"/>
              </w:rPr>
              <w:t xml:space="preserve"> C</w:t>
            </w:r>
            <w:r>
              <w:rPr>
                <w:rFonts w:ascii="Times New Roman" w:cs="Times New Roman" w:eastAsia="Times New Roman" w:hAnsi="Times New Roman"/>
                <w:sz w:val="11"/>
                <w:szCs w:val="11"/>
                <w:color w:val="0000EE"/>
              </w:rPr>
              <w:t>ERTAIN</w:t>
            </w:r>
            <w:r>
              <w:rPr>
                <w:rFonts w:ascii="Times New Roman" w:cs="Times New Roman" w:eastAsia="Times New Roman" w:hAnsi="Times New Roman"/>
                <w:sz w:val="14"/>
                <w:szCs w:val="14"/>
                <w:color w:val="0000EE"/>
              </w:rPr>
              <w:t xml:space="preserve"> F</w:t>
            </w:r>
            <w:r>
              <w:rPr>
                <w:rFonts w:ascii="Times New Roman" w:cs="Times New Roman" w:eastAsia="Times New Roman" w:hAnsi="Times New Roman"/>
                <w:sz w:val="11"/>
                <w:szCs w:val="11"/>
                <w:color w:val="0000EE"/>
              </w:rPr>
              <w:t>ORWARD</w:t>
            </w:r>
            <w:r>
              <w:rPr>
                <w:rFonts w:ascii="Times New Roman" w:cs="Times New Roman" w:eastAsia="Times New Roman" w:hAnsi="Times New Roman"/>
                <w:sz w:val="14"/>
                <w:szCs w:val="14"/>
                <w:color w:val="0000EE"/>
              </w:rPr>
              <w:t>-</w:t>
            </w:r>
            <w:r>
              <w:rPr>
                <w:rFonts w:ascii="Times New Roman" w:cs="Times New Roman" w:eastAsia="Times New Roman" w:hAnsi="Times New Roman"/>
                <w:sz w:val="11"/>
                <w:szCs w:val="11"/>
                <w:color w:val="0000EE"/>
              </w:rPr>
              <w:t>LOOKING</w:t>
            </w:r>
            <w:r>
              <w:rPr>
                <w:rFonts w:ascii="Times New Roman" w:cs="Times New Roman" w:eastAsia="Times New Roman" w:hAnsi="Times New Roman"/>
                <w:sz w:val="14"/>
                <w:szCs w:val="14"/>
                <w:color w:val="0000EE"/>
              </w:rPr>
              <w:t xml:space="preserve"> I</w:t>
            </w:r>
            <w:r>
              <w:rPr>
                <w:rFonts w:ascii="Times New Roman" w:cs="Times New Roman" w:eastAsia="Times New Roman" w:hAnsi="Times New Roman"/>
                <w:sz w:val="11"/>
                <w:szCs w:val="11"/>
                <w:color w:val="0000EE"/>
              </w:rPr>
              <w:t>NFORMATION</w:t>
            </w:r>
          </w:p>
        </w:tc>
        <w:tc>
          <w:tcPr>
            <w:tcW w:w="24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7"/>
        </w:trPr>
        <w:tc>
          <w:tcPr>
            <w:tcW w:w="1920" w:type="dxa"/>
            <w:vAlign w:val="bottom"/>
            <w:tcBorders>
              <w:top w:val="single" w:sz="8" w:color="0000EE"/>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rPr>
              <w:t>E</w:t>
            </w:r>
            <w:r>
              <w:rPr>
                <w:rFonts w:ascii="Times New Roman" w:cs="Times New Roman" w:eastAsia="Times New Roman" w:hAnsi="Times New Roman"/>
                <w:sz w:val="11"/>
                <w:szCs w:val="11"/>
                <w:color w:val="0000EE"/>
              </w:rPr>
              <w:t>VERGY</w:t>
            </w:r>
            <w:r>
              <w:rPr>
                <w:rFonts w:ascii="Times New Roman" w:cs="Times New Roman" w:eastAsia="Times New Roman" w:hAnsi="Times New Roman"/>
                <w:sz w:val="14"/>
                <w:szCs w:val="14"/>
                <w:color w:val="0000EE"/>
              </w:rPr>
              <w:t xml:space="preserve"> K</w:t>
            </w:r>
            <w:r>
              <w:rPr>
                <w:rFonts w:ascii="Times New Roman" w:cs="Times New Roman" w:eastAsia="Times New Roman" w:hAnsi="Times New Roman"/>
                <w:sz w:val="11"/>
                <w:szCs w:val="11"/>
                <w:color w:val="0000EE"/>
              </w:rPr>
              <w:t>ANSAS</w:t>
            </w:r>
            <w:r>
              <w:rPr>
                <w:rFonts w:ascii="Times New Roman" w:cs="Times New Roman" w:eastAsia="Times New Roman" w:hAnsi="Times New Roman"/>
                <w:sz w:val="14"/>
                <w:szCs w:val="14"/>
                <w:color w:val="0000EE"/>
              </w:rPr>
              <w:t xml:space="preserve"> C</w:t>
            </w:r>
            <w:r>
              <w:rPr>
                <w:rFonts w:ascii="Times New Roman" w:cs="Times New Roman" w:eastAsia="Times New Roman" w:hAnsi="Times New Roman"/>
                <w:sz w:val="11"/>
                <w:szCs w:val="11"/>
                <w:color w:val="0000EE"/>
              </w:rPr>
              <w:t>ENTRAL</w:t>
            </w:r>
            <w:r>
              <w:rPr>
                <w:rFonts w:ascii="Times New Roman" w:cs="Times New Roman" w:eastAsia="Times New Roman" w:hAnsi="Times New Roman"/>
                <w:sz w:val="14"/>
                <w:szCs w:val="14"/>
                <w:color w:val="0000EE"/>
              </w:rPr>
              <w:t>, I</w:t>
            </w:r>
            <w:r>
              <w:rPr>
                <w:rFonts w:ascii="Times New Roman" w:cs="Times New Roman" w:eastAsia="Times New Roman" w:hAnsi="Times New Roman"/>
                <w:sz w:val="11"/>
                <w:szCs w:val="11"/>
                <w:color w:val="0000EE"/>
              </w:rPr>
              <w:t>NC</w:t>
            </w:r>
            <w:r>
              <w:rPr>
                <w:rFonts w:ascii="Times New Roman" w:cs="Times New Roman" w:eastAsia="Times New Roman" w:hAnsi="Times New Roman"/>
                <w:sz w:val="14"/>
                <w:szCs w:val="14"/>
                <w:color w:val="0000EE"/>
              </w:rPr>
              <w:t xml:space="preserve"> .</w:t>
            </w:r>
          </w:p>
        </w:tc>
        <w:tc>
          <w:tcPr>
            <w:tcW w:w="2900" w:type="dxa"/>
            <w:vAlign w:val="bottom"/>
            <w:tcBorders>
              <w:top w:val="single" w:sz="8" w:color="0000EE"/>
            </w:tcBorders>
            <w:gridSpan w:val="4"/>
          </w:tcPr>
          <w:p>
            <w:pPr>
              <w:spacing w:after="0"/>
              <w:rPr>
                <w:sz w:val="12"/>
                <w:szCs w:val="12"/>
                <w:color w:val="auto"/>
              </w:rPr>
            </w:pPr>
          </w:p>
        </w:tc>
        <w:tc>
          <w:tcPr>
            <w:tcW w:w="3420" w:type="dxa"/>
            <w:vAlign w:val="bottom"/>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7"/>
        </w:trPr>
        <w:tc>
          <w:tcPr>
            <w:tcW w:w="84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rPr>
              <w:t>R</w:t>
            </w:r>
            <w:r>
              <w:rPr>
                <w:rFonts w:ascii="Times New Roman" w:cs="Times New Roman" w:eastAsia="Times New Roman" w:hAnsi="Times New Roman"/>
                <w:sz w:val="11"/>
                <w:szCs w:val="11"/>
                <w:color w:val="0000EE"/>
              </w:rPr>
              <w:t>ISK</w:t>
            </w:r>
            <w:r>
              <w:rPr>
                <w:rFonts w:ascii="Times New Roman" w:cs="Times New Roman" w:eastAsia="Times New Roman" w:hAnsi="Times New Roman"/>
                <w:sz w:val="14"/>
                <w:szCs w:val="14"/>
                <w:color w:val="0000EE"/>
              </w:rPr>
              <w:t xml:space="preserve"> F</w:t>
            </w:r>
            <w:r>
              <w:rPr>
                <w:rFonts w:ascii="Times New Roman" w:cs="Times New Roman" w:eastAsia="Times New Roman" w:hAnsi="Times New Roman"/>
                <w:sz w:val="11"/>
                <w:szCs w:val="11"/>
                <w:color w:val="0000EE"/>
              </w:rPr>
              <w:t>ACTORS</w:t>
            </w:r>
          </w:p>
        </w:tc>
        <w:tc>
          <w:tcPr>
            <w:tcW w:w="7400" w:type="dxa"/>
            <w:vAlign w:val="bottom"/>
            <w:gridSpan w:val="11"/>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7"/>
        </w:trPr>
        <w:tc>
          <w:tcPr>
            <w:tcW w:w="824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U</w:t>
            </w:r>
            <w:r>
              <w:rPr>
                <w:rFonts w:ascii="Times New Roman" w:cs="Times New Roman" w:eastAsia="Times New Roman" w:hAnsi="Times New Roman"/>
                <w:sz w:val="11"/>
                <w:szCs w:val="11"/>
                <w:color w:val="0000EE"/>
              </w:rPr>
              <w:t>SE OF</w:t>
            </w:r>
            <w:r>
              <w:rPr>
                <w:rFonts w:ascii="Times New Roman" w:cs="Times New Roman" w:eastAsia="Times New Roman" w:hAnsi="Times New Roman"/>
                <w:sz w:val="14"/>
                <w:szCs w:val="14"/>
                <w:color w:val="0000EE"/>
              </w:rPr>
              <w:t xml:space="preserve"> P</w:t>
            </w:r>
            <w:r>
              <w:rPr>
                <w:rFonts w:ascii="Times New Roman" w:cs="Times New Roman" w:eastAsia="Times New Roman" w:hAnsi="Times New Roman"/>
                <w:sz w:val="11"/>
                <w:szCs w:val="11"/>
                <w:color w:val="0000EE"/>
              </w:rPr>
              <w:t>ROCEEDS</w:t>
            </w: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0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rPr>
              <w:t>D</w:t>
            </w:r>
            <w:r>
              <w:rPr>
                <w:rFonts w:ascii="Times New Roman" w:cs="Times New Roman" w:eastAsia="Times New Roman" w:hAnsi="Times New Roman"/>
                <w:sz w:val="11"/>
                <w:szCs w:val="11"/>
                <w:color w:val="0000EE"/>
              </w:rPr>
              <w:t>ESCRIPTION OF</w:t>
            </w:r>
            <w:r>
              <w:rPr>
                <w:rFonts w:ascii="Times New Roman" w:cs="Times New Roman" w:eastAsia="Times New Roman" w:hAnsi="Times New Roman"/>
                <w:sz w:val="14"/>
                <w:szCs w:val="14"/>
                <w:color w:val="0000EE"/>
              </w:rPr>
              <w:t xml:space="preserve"> D</w:t>
            </w:r>
            <w:r>
              <w:rPr>
                <w:rFonts w:ascii="Times New Roman" w:cs="Times New Roman" w:eastAsia="Times New Roman" w:hAnsi="Times New Roman"/>
                <w:sz w:val="11"/>
                <w:szCs w:val="11"/>
                <w:color w:val="0000EE"/>
              </w:rPr>
              <w:t>EBT</w:t>
            </w:r>
            <w:r>
              <w:rPr>
                <w:rFonts w:ascii="Times New Roman" w:cs="Times New Roman" w:eastAsia="Times New Roman" w:hAnsi="Times New Roman"/>
                <w:sz w:val="14"/>
                <w:szCs w:val="14"/>
                <w:color w:val="0000EE"/>
              </w:rPr>
              <w:t xml:space="preserve"> S</w:t>
            </w:r>
            <w:r>
              <w:rPr>
                <w:rFonts w:ascii="Times New Roman" w:cs="Times New Roman" w:eastAsia="Times New Roman" w:hAnsi="Times New Roman"/>
                <w:sz w:val="11"/>
                <w:szCs w:val="11"/>
                <w:color w:val="0000EE"/>
              </w:rPr>
              <w:t>ECURITIES</w:t>
            </w:r>
          </w:p>
        </w:tc>
        <w:tc>
          <w:tcPr>
            <w:tcW w:w="6240" w:type="dxa"/>
            <w:vAlign w:val="bottom"/>
            <w:gridSpan w:val="4"/>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7"/>
        </w:trPr>
        <w:tc>
          <w:tcPr>
            <w:tcW w:w="824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D</w:t>
            </w:r>
            <w:r>
              <w:rPr>
                <w:rFonts w:ascii="Times New Roman" w:cs="Times New Roman" w:eastAsia="Times New Roman" w:hAnsi="Times New Roman"/>
                <w:sz w:val="11"/>
                <w:szCs w:val="11"/>
                <w:color w:val="0000EE"/>
              </w:rPr>
              <w:t>ESCRIPTION OF</w:t>
            </w:r>
            <w:r>
              <w:rPr>
                <w:rFonts w:ascii="Times New Roman" w:cs="Times New Roman" w:eastAsia="Times New Roman" w:hAnsi="Times New Roman"/>
                <w:sz w:val="14"/>
                <w:szCs w:val="14"/>
                <w:color w:val="0000EE"/>
              </w:rPr>
              <w:t xml:space="preserve"> F</w:t>
            </w:r>
            <w:r>
              <w:rPr>
                <w:rFonts w:ascii="Times New Roman" w:cs="Times New Roman" w:eastAsia="Times New Roman" w:hAnsi="Times New Roman"/>
                <w:sz w:val="11"/>
                <w:szCs w:val="11"/>
                <w:color w:val="0000EE"/>
              </w:rPr>
              <w:t>IRST</w:t>
            </w:r>
            <w:r>
              <w:rPr>
                <w:rFonts w:ascii="Times New Roman" w:cs="Times New Roman" w:eastAsia="Times New Roman" w:hAnsi="Times New Roman"/>
                <w:sz w:val="14"/>
                <w:szCs w:val="14"/>
                <w:color w:val="0000EE"/>
              </w:rPr>
              <w:t xml:space="preserve"> M</w:t>
            </w:r>
            <w:r>
              <w:rPr>
                <w:rFonts w:ascii="Times New Roman" w:cs="Times New Roman" w:eastAsia="Times New Roman" w:hAnsi="Times New Roman"/>
                <w:sz w:val="11"/>
                <w:szCs w:val="11"/>
                <w:color w:val="0000EE"/>
              </w:rPr>
              <w:t>ORTGAGE</w:t>
            </w:r>
            <w:r>
              <w:rPr>
                <w:rFonts w:ascii="Times New Roman" w:cs="Times New Roman" w:eastAsia="Times New Roman" w:hAnsi="Times New Roman"/>
                <w:sz w:val="14"/>
                <w:szCs w:val="14"/>
                <w:color w:val="0000EE"/>
              </w:rPr>
              <w:t xml:space="preserve"> B</w:t>
            </w:r>
            <w:r>
              <w:rPr>
                <w:rFonts w:ascii="Times New Roman" w:cs="Times New Roman" w:eastAsia="Times New Roman" w:hAnsi="Times New Roman"/>
                <w:sz w:val="11"/>
                <w:szCs w:val="11"/>
                <w:color w:val="0000EE"/>
              </w:rPr>
              <w:t>ONDS</w:t>
            </w: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7"/>
        </w:trPr>
        <w:tc>
          <w:tcPr>
            <w:tcW w:w="2440" w:type="dxa"/>
            <w:vAlign w:val="bottom"/>
            <w:tcBorders>
              <w:top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rPr>
              <w:t>B</w:t>
            </w:r>
            <w:r>
              <w:rPr>
                <w:rFonts w:ascii="Times New Roman" w:cs="Times New Roman" w:eastAsia="Times New Roman" w:hAnsi="Times New Roman"/>
                <w:sz w:val="11"/>
                <w:szCs w:val="11"/>
                <w:color w:val="0000EE"/>
              </w:rPr>
              <w:t>OOK</w:t>
            </w:r>
            <w:r>
              <w:rPr>
                <w:rFonts w:ascii="Times New Roman" w:cs="Times New Roman" w:eastAsia="Times New Roman" w:hAnsi="Times New Roman"/>
                <w:sz w:val="14"/>
                <w:szCs w:val="14"/>
                <w:color w:val="0000EE"/>
              </w:rPr>
              <w:t>-</w:t>
            </w:r>
            <w:r>
              <w:rPr>
                <w:rFonts w:ascii="Times New Roman" w:cs="Times New Roman" w:eastAsia="Times New Roman" w:hAnsi="Times New Roman"/>
                <w:sz w:val="11"/>
                <w:szCs w:val="11"/>
                <w:color w:val="0000EE"/>
              </w:rPr>
              <w:t>ENTRY</w:t>
            </w:r>
            <w:r>
              <w:rPr>
                <w:rFonts w:ascii="Times New Roman" w:cs="Times New Roman" w:eastAsia="Times New Roman" w:hAnsi="Times New Roman"/>
                <w:sz w:val="14"/>
                <w:szCs w:val="14"/>
                <w:color w:val="0000EE"/>
              </w:rPr>
              <w:t xml:space="preserve"> S</w:t>
            </w:r>
            <w:r>
              <w:rPr>
                <w:rFonts w:ascii="Times New Roman" w:cs="Times New Roman" w:eastAsia="Times New Roman" w:hAnsi="Times New Roman"/>
                <w:sz w:val="11"/>
                <w:szCs w:val="11"/>
                <w:color w:val="0000EE"/>
              </w:rPr>
              <w:t>YSTEM</w:t>
            </w:r>
          </w:p>
        </w:tc>
        <w:tc>
          <w:tcPr>
            <w:tcW w:w="5800" w:type="dxa"/>
            <w:vAlign w:val="bottom"/>
            <w:gridSpan w:val="3"/>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36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P</w:t>
            </w:r>
            <w:r>
              <w:rPr>
                <w:rFonts w:ascii="Times New Roman" w:cs="Times New Roman" w:eastAsia="Times New Roman" w:hAnsi="Times New Roman"/>
                <w:sz w:val="11"/>
                <w:szCs w:val="11"/>
                <w:color w:val="0000EE"/>
              </w:rPr>
              <w:t>LAN OF</w:t>
            </w:r>
            <w:r>
              <w:rPr>
                <w:rFonts w:ascii="Times New Roman" w:cs="Times New Roman" w:eastAsia="Times New Roman" w:hAnsi="Times New Roman"/>
                <w:sz w:val="14"/>
                <w:szCs w:val="14"/>
                <w:color w:val="0000EE"/>
              </w:rPr>
              <w:t xml:space="preserve"> D</w:t>
            </w:r>
            <w:r>
              <w:rPr>
                <w:rFonts w:ascii="Times New Roman" w:cs="Times New Roman" w:eastAsia="Times New Roman" w:hAnsi="Times New Roman"/>
                <w:sz w:val="11"/>
                <w:szCs w:val="11"/>
                <w:color w:val="0000EE"/>
              </w:rPr>
              <w:t>ISTRIBUTION</w:t>
            </w:r>
          </w:p>
        </w:tc>
        <w:tc>
          <w:tcPr>
            <w:tcW w:w="6880" w:type="dxa"/>
            <w:vAlign w:val="bottom"/>
            <w:gridSpan w:val="7"/>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7"/>
        </w:trPr>
        <w:tc>
          <w:tcPr>
            <w:tcW w:w="824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L</w:t>
            </w:r>
            <w:r>
              <w:rPr>
                <w:rFonts w:ascii="Times New Roman" w:cs="Times New Roman" w:eastAsia="Times New Roman" w:hAnsi="Times New Roman"/>
                <w:sz w:val="11"/>
                <w:szCs w:val="11"/>
                <w:color w:val="0000EE"/>
              </w:rPr>
              <w:t>EGAL</w:t>
            </w:r>
            <w:r>
              <w:rPr>
                <w:rFonts w:ascii="Times New Roman" w:cs="Times New Roman" w:eastAsia="Times New Roman" w:hAnsi="Times New Roman"/>
                <w:sz w:val="14"/>
                <w:szCs w:val="14"/>
                <w:color w:val="0000EE"/>
              </w:rPr>
              <w:t xml:space="preserve"> M</w:t>
            </w:r>
            <w:r>
              <w:rPr>
                <w:rFonts w:ascii="Times New Roman" w:cs="Times New Roman" w:eastAsia="Times New Roman" w:hAnsi="Times New Roman"/>
                <w:sz w:val="11"/>
                <w:szCs w:val="11"/>
                <w:color w:val="0000EE"/>
              </w:rPr>
              <w:t>ATTERS</w:t>
            </w: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7"/>
        </w:trPr>
        <w:tc>
          <w:tcPr>
            <w:tcW w:w="5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6"/>
              </w:rPr>
              <w:t>E</w:t>
            </w:r>
            <w:r>
              <w:rPr>
                <w:rFonts w:ascii="Times New Roman" w:cs="Times New Roman" w:eastAsia="Times New Roman" w:hAnsi="Times New Roman"/>
                <w:sz w:val="11"/>
                <w:szCs w:val="11"/>
                <w:color w:val="0000EE"/>
                <w:w w:val="96"/>
              </w:rPr>
              <w:t>XPERTS</w:t>
            </w:r>
          </w:p>
        </w:tc>
        <w:tc>
          <w:tcPr>
            <w:tcW w:w="460" w:type="dxa"/>
            <w:vAlign w:val="bottom"/>
            <w:tcBorders>
              <w:top w:val="single" w:sz="8" w:color="0000EE"/>
            </w:tcBorders>
            <w:gridSpan w:val="2"/>
          </w:tcPr>
          <w:p>
            <w:pPr>
              <w:spacing w:after="0"/>
              <w:rPr>
                <w:sz w:val="12"/>
                <w:szCs w:val="12"/>
                <w:color w:val="auto"/>
              </w:rPr>
            </w:pPr>
          </w:p>
        </w:tc>
        <w:tc>
          <w:tcPr>
            <w:tcW w:w="7280" w:type="dxa"/>
            <w:vAlign w:val="bottom"/>
            <w:gridSpan w:val="10"/>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7"/>
        </w:trPr>
        <w:tc>
          <w:tcPr>
            <w:tcW w:w="824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W</w:t>
            </w:r>
            <w:r>
              <w:rPr>
                <w:rFonts w:ascii="Times New Roman" w:cs="Times New Roman" w:eastAsia="Times New Roman" w:hAnsi="Times New Roman"/>
                <w:sz w:val="11"/>
                <w:szCs w:val="11"/>
                <w:color w:val="0000EE"/>
              </w:rPr>
              <w:t>HERE</w:t>
            </w:r>
            <w:r>
              <w:rPr>
                <w:rFonts w:ascii="Times New Roman" w:cs="Times New Roman" w:eastAsia="Times New Roman" w:hAnsi="Times New Roman"/>
                <w:sz w:val="14"/>
                <w:szCs w:val="14"/>
                <w:color w:val="0000EE"/>
              </w:rPr>
              <w:t xml:space="preserve"> Y</w:t>
            </w:r>
            <w:r>
              <w:rPr>
                <w:rFonts w:ascii="Times New Roman" w:cs="Times New Roman" w:eastAsia="Times New Roman" w:hAnsi="Times New Roman"/>
                <w:sz w:val="11"/>
                <w:szCs w:val="11"/>
                <w:color w:val="0000EE"/>
              </w:rPr>
              <w:t>OU</w:t>
            </w:r>
            <w:r>
              <w:rPr>
                <w:rFonts w:ascii="Times New Roman" w:cs="Times New Roman" w:eastAsia="Times New Roman" w:hAnsi="Times New Roman"/>
                <w:sz w:val="14"/>
                <w:szCs w:val="14"/>
                <w:color w:val="0000EE"/>
              </w:rPr>
              <w:t xml:space="preserve"> C</w:t>
            </w:r>
            <w:r>
              <w:rPr>
                <w:rFonts w:ascii="Times New Roman" w:cs="Times New Roman" w:eastAsia="Times New Roman" w:hAnsi="Times New Roman"/>
                <w:sz w:val="11"/>
                <w:szCs w:val="11"/>
                <w:color w:val="0000EE"/>
              </w:rPr>
              <w:t>AN</w:t>
            </w:r>
            <w:r>
              <w:rPr>
                <w:rFonts w:ascii="Times New Roman" w:cs="Times New Roman" w:eastAsia="Times New Roman" w:hAnsi="Times New Roman"/>
                <w:sz w:val="14"/>
                <w:szCs w:val="14"/>
                <w:color w:val="0000EE"/>
              </w:rPr>
              <w:t xml:space="preserve"> F</w:t>
            </w:r>
            <w:r>
              <w:rPr>
                <w:rFonts w:ascii="Times New Roman" w:cs="Times New Roman" w:eastAsia="Times New Roman" w:hAnsi="Times New Roman"/>
                <w:sz w:val="11"/>
                <w:szCs w:val="11"/>
                <w:color w:val="0000EE"/>
              </w:rPr>
              <w:t>IND</w:t>
            </w:r>
            <w:r>
              <w:rPr>
                <w:rFonts w:ascii="Times New Roman" w:cs="Times New Roman" w:eastAsia="Times New Roman" w:hAnsi="Times New Roman"/>
                <w:sz w:val="14"/>
                <w:szCs w:val="14"/>
                <w:color w:val="0000EE"/>
              </w:rPr>
              <w:t xml:space="preserve"> M</w:t>
            </w:r>
            <w:r>
              <w:rPr>
                <w:rFonts w:ascii="Times New Roman" w:cs="Times New Roman" w:eastAsia="Times New Roman" w:hAnsi="Times New Roman"/>
                <w:sz w:val="11"/>
                <w:szCs w:val="11"/>
                <w:color w:val="0000EE"/>
              </w:rPr>
              <w:t>ORE</w:t>
            </w:r>
            <w:r>
              <w:rPr>
                <w:rFonts w:ascii="Times New Roman" w:cs="Times New Roman" w:eastAsia="Times New Roman" w:hAnsi="Times New Roman"/>
                <w:sz w:val="14"/>
                <w:szCs w:val="14"/>
                <w:color w:val="0000EE"/>
              </w:rPr>
              <w:t xml:space="preserve"> I</w:t>
            </w:r>
            <w:r>
              <w:rPr>
                <w:rFonts w:ascii="Times New Roman" w:cs="Times New Roman" w:eastAsia="Times New Roman" w:hAnsi="Times New Roman"/>
                <w:sz w:val="11"/>
                <w:szCs w:val="11"/>
                <w:color w:val="0000EE"/>
              </w:rPr>
              <w:t>NFORMATION</w:t>
            </w: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3"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BOUT</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ROSPECTUS</w:t>
      </w:r>
    </w:p>
    <w:p>
      <w:pPr>
        <w:spacing w:after="0" w:line="175" w:lineRule="exact"/>
        <w:rPr>
          <w:sz w:val="20"/>
          <w:szCs w:val="20"/>
          <w:color w:val="auto"/>
        </w:rPr>
      </w:pPr>
    </w:p>
    <w:p>
      <w:pPr>
        <w:jc w:val="both"/>
        <w:ind w:left="1400" w:right="379" w:firstLine="340"/>
        <w:spacing w:after="0" w:line="319" w:lineRule="auto"/>
        <w:rPr>
          <w:sz w:val="20"/>
          <w:szCs w:val="20"/>
          <w:color w:val="auto"/>
        </w:rPr>
      </w:pPr>
      <w:r>
        <w:rPr>
          <w:rFonts w:ascii="Times New Roman" w:cs="Times New Roman" w:eastAsia="Times New Roman" w:hAnsi="Times New Roman"/>
          <w:sz w:val="13"/>
          <w:szCs w:val="13"/>
          <w:color w:val="auto"/>
        </w:rPr>
        <w:t>This prospectus is part of a registration statement filed with the Securities and Exchange Commission (the “SEC”) utilizing a “shelf” registration process. By using this process, we may, from time to time, sell any combination of the securities described in this prospectus in one or more offerings.</w:t>
      </w:r>
    </w:p>
    <w:p>
      <w:pPr>
        <w:spacing w:after="0" w:line="103"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sell securities, we will provide you with a supplement to this prospectus that will describe the specific terms of that offering. The prospectus supplement may also add, update or change the information contained in this prospectus, including information about us. If there is any inconsistency between the information in this prospectus and the prospectus supplement, you should rely on the information in the prospectus supplement. The registration statement we filed with the SEC includes exhibits that provide more detail on descriptions of the matters discussed in this prospectus. Therefore, for a complete understanding of our securities being offered, we urge you to read carefully the registration statement (including the exhibits thereto), this prospectus and any prospectus supplement accompanying this prospectus, together with the information incorporated herein by reference under “Where You Can Find More Information,” before deciding whether to invest in any of our securities being offered.</w:t>
      </w:r>
    </w:p>
    <w:p>
      <w:pPr>
        <w:spacing w:after="0" w:line="144"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This prospectus, any prospectus supplement and any free writing prospectus that we file with the SEC contain and incorporate by reference information that you should consider when making your investment decision. We have not, and the underwriters have not, authorized anyone to provide you with different information, and neither we nor the underwriters of any offering of securities will authorize anyone else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w:t>
      </w:r>
    </w:p>
    <w:p>
      <w:pPr>
        <w:spacing w:after="0" w:line="147"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As described in more detail below under “Where You Can Find More Information,” we, Evergy, Inc. (“Evergy”), our parent company, and another wholly-owned subsidiary of Evergy, separately file combined reports under the Securities Exchange Act of 1934, as amended (the “Exchange Act”). However, only the information related to Evergy Kansas Central and its consolidated subsidiaries is incorporated by reference in this prospectus. You should not rely on any information relating solely to Evergy or its subsidiaries (other than Evergy Kansas Central and its consolidated subsidiaries and the information provided separately by Evergy Kansas Central or its consolidated subsidiaries) in determining whether to invest in any securities offered hereby. The securities are not guaranteed by Evergy or any of its or our subsidiaries. None of those entities has any obligation to make any capital contribution or distributions or to advance funds to us for the purpose of paying the principal of, or premium, if any, or interest on, the securities or any other amount that may be required to be paid under any indenture, preventing or curing an event of default under the terms of any indenture, complying with any other obligation under any indenture or the securities or otherwise.</w:t>
      </w:r>
    </w:p>
    <w:p>
      <w:pPr>
        <w:spacing w:after="0" w:line="147"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Unless the context otherwise requires or as otherwise indicated, when we refer to “Evergy Kansas Central,” or “we,” “us,” “our” or comparable terms, we mean Evergy Kansas Central, Inc., and when we refer to “Evergy Kansas South,” we mean Evergy Kansas South, Inc. Additionally, when we refer to Evergy Companies we mean, collectively, Evergy, Inc., Evergy Kansas Central, Inc. and Evergy Metro, Inc. (“Evergy Metro”).</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AUTIONARY</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TATEMENTS</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EGARDING</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ERTAIN</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ORWARD</w:t>
      </w: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OOKING</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NFORMATION</w:t>
      </w:r>
    </w:p>
    <w:p>
      <w:pPr>
        <w:spacing w:after="0" w:line="158" w:lineRule="exact"/>
        <w:rPr>
          <w:sz w:val="20"/>
          <w:szCs w:val="20"/>
          <w:color w:val="auto"/>
        </w:rPr>
      </w:pPr>
    </w:p>
    <w:p>
      <w:pPr>
        <w:ind w:left="1400" w:right="319" w:firstLine="340"/>
        <w:spacing w:after="0" w:line="252" w:lineRule="auto"/>
        <w:rPr>
          <w:sz w:val="20"/>
          <w:szCs w:val="20"/>
          <w:color w:val="auto"/>
        </w:rPr>
      </w:pPr>
      <w:r>
        <w:rPr>
          <w:rFonts w:ascii="Times New Roman" w:cs="Times New Roman" w:eastAsia="Times New Roman" w:hAnsi="Times New Roman"/>
          <w:sz w:val="14"/>
          <w:szCs w:val="14"/>
          <w:color w:val="auto"/>
        </w:rPr>
        <w:t>This prospectus and the documents incorporated or deemed incorporated by reference herein as described under the heading “Where You Can Find More Information” contain forward-looking statements that are not based on historical facts are forward-looking, may involve risks and uncertainties, and are intended to be as of the date when made. Forward-looking statements include, but are not limited to;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47" w:lineRule="exact"/>
        <w:rPr>
          <w:sz w:val="20"/>
          <w:szCs w:val="20"/>
          <w:color w:val="auto"/>
        </w:rPr>
      </w:pPr>
    </w:p>
    <w:p>
      <w:pPr>
        <w:ind w:left="1400" w:right="299" w:firstLine="340"/>
        <w:spacing w:after="0" w:line="249" w:lineRule="auto"/>
        <w:rPr>
          <w:sz w:val="20"/>
          <w:szCs w:val="20"/>
          <w:color w:val="auto"/>
        </w:rPr>
      </w:pPr>
      <w:r>
        <w:rPr>
          <w:rFonts w:ascii="Times New Roman" w:cs="Times New Roman" w:eastAsia="Times New Roman" w:hAnsi="Times New Roman"/>
          <w:sz w:val="14"/>
          <w:szCs w:val="14"/>
          <w:color w:val="auto"/>
        </w:rPr>
        <w:t>In connection with the safe harbor provisions of the Private Securities Litigation Reform Act of 1995, we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w:t>
      </w:r>
    </w:p>
    <w:p>
      <w:pPr>
        <w:spacing w:after="0" w:line="10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499"/>
        <w:spacing w:after="0" w:line="256" w:lineRule="auto"/>
        <w:rPr>
          <w:sz w:val="20"/>
          <w:szCs w:val="20"/>
          <w:color w:val="auto"/>
        </w:rPr>
      </w:pPr>
      <w:r>
        <w:rPr>
          <w:rFonts w:ascii="Times New Roman" w:cs="Times New Roman" w:eastAsia="Times New Roman" w:hAnsi="Times New Roman"/>
          <w:sz w:val="14"/>
          <w:szCs w:val="14"/>
          <w:color w:val="auto"/>
        </w:rPr>
        <w:t>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142"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This list of factors is not all-inclusive because it is not possible to predict all factors. You should also carefully consider the information contained under the heading “Risk Factors” in this prospectus, any prospectus supplement, and in our other SEC filings. Additional risks and uncertainties are discussed from time to time in the Annual Report on Form 10-K for the year ended December 31, 2023 filed by Evergy Kansas Central with the SEC, and from time to time in current reports on Form 8-K and quarterly reports on Form 10-Q filed by Evergy Kansas Central with the SEC. Each forward-looking statement speaks only as of the date of the particular statement. Evergy Kansas Central undertakes no obligation to publicly update or revise any forward-looking statement, whether as a result of new information, future events or otherwise, except as required by law.</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4"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VERGY</w:t>
      </w:r>
      <w:r>
        <w:rPr>
          <w:rFonts w:ascii="Times New Roman" w:cs="Times New Roman" w:eastAsia="Times New Roman" w:hAnsi="Times New Roman"/>
          <w:sz w:val="14"/>
          <w:szCs w:val="14"/>
          <w:b w:val="1"/>
          <w:bCs w:val="1"/>
          <w:color w:val="auto"/>
        </w:rPr>
        <w:t xml:space="preserve"> K</w:t>
      </w:r>
      <w:r>
        <w:rPr>
          <w:rFonts w:ascii="Times New Roman" w:cs="Times New Roman" w:eastAsia="Times New Roman" w:hAnsi="Times New Roman"/>
          <w:sz w:val="11"/>
          <w:szCs w:val="11"/>
          <w:b w:val="1"/>
          <w:bCs w:val="1"/>
          <w:color w:val="auto"/>
        </w:rPr>
        <w:t>ANSAS</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ENTRAL</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175"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Evergy Kansas Central, Inc. is an integrated, regulated electric utility that provides electricity to customers in the state of Kansas. Evergy Kansas Central has one active wholly owned subsidiary with significant operations, Evergy Kansas South, Inc.</w:t>
      </w:r>
    </w:p>
    <w:p>
      <w:pPr>
        <w:spacing w:after="0" w:line="126" w:lineRule="exact"/>
        <w:rPr>
          <w:sz w:val="20"/>
          <w:szCs w:val="20"/>
          <w:color w:val="auto"/>
        </w:rPr>
      </w:pPr>
    </w:p>
    <w:p>
      <w:pPr>
        <w:jc w:val="both"/>
        <w:ind w:left="1400" w:right="459" w:firstLine="340"/>
        <w:spacing w:after="0" w:line="259" w:lineRule="auto"/>
        <w:rPr>
          <w:sz w:val="20"/>
          <w:szCs w:val="20"/>
          <w:color w:val="auto"/>
        </w:rPr>
      </w:pPr>
      <w:r>
        <w:rPr>
          <w:rFonts w:ascii="Times New Roman" w:cs="Times New Roman" w:eastAsia="Times New Roman" w:hAnsi="Times New Roman"/>
          <w:sz w:val="14"/>
          <w:szCs w:val="14"/>
          <w:color w:val="auto"/>
        </w:rPr>
        <w:t>Our principal executive offices are located at 818 South Kansas Avenue, Topeka, Kansas 66612. Our telephone number is (785) 575-6300. Our parent company maintains a website at www.evergy.com where general information about us is available. Our parent company’s Internet site and the information contained therein or connected thereto are not intended to be incorporated into this prospectus and should not be considered a part of this prospectus.</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1"/>
          <w:szCs w:val="11"/>
          <w:b w:val="1"/>
          <w:bCs w:val="1"/>
          <w:color w:val="auto"/>
        </w:rPr>
        <w:t>ISK</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ACTORS</w:t>
      </w:r>
    </w:p>
    <w:p>
      <w:pPr>
        <w:spacing w:after="0" w:line="175" w:lineRule="exact"/>
        <w:rPr>
          <w:sz w:val="20"/>
          <w:szCs w:val="20"/>
          <w:color w:val="auto"/>
        </w:rPr>
      </w:pPr>
    </w:p>
    <w:p>
      <w:pPr>
        <w:ind w:left="1400" w:right="479" w:firstLine="340"/>
        <w:spacing w:after="0" w:line="319" w:lineRule="auto"/>
        <w:rPr>
          <w:sz w:val="20"/>
          <w:szCs w:val="20"/>
          <w:color w:val="auto"/>
        </w:rPr>
      </w:pPr>
      <w:r>
        <w:rPr>
          <w:rFonts w:ascii="Times New Roman" w:cs="Times New Roman" w:eastAsia="Times New Roman" w:hAnsi="Times New Roman"/>
          <w:sz w:val="13"/>
          <w:szCs w:val="13"/>
          <w:color w:val="auto"/>
        </w:rPr>
        <w:t>Investing in our securities involves risks. Our business is influenced by many factors that are difficult to predict, involve uncertainties that may materially affect actual results and are often beyond our control. You should carefully consider the information under the heading “Risk Factors” in:</w:t>
      </w:r>
    </w:p>
    <w:p>
      <w:pPr>
        <w:spacing w:after="0" w:line="30" w:lineRule="exact"/>
        <w:rPr>
          <w:sz w:val="20"/>
          <w:szCs w:val="20"/>
          <w:color w:val="auto"/>
        </w:rPr>
      </w:pPr>
    </w:p>
    <w:p>
      <w:pPr>
        <w:ind w:left="2140" w:hanging="33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prospectus supplement relating to any securities we are offering;</w:t>
      </w:r>
    </w:p>
    <w:p>
      <w:pPr>
        <w:spacing w:after="0" w:line="99" w:lineRule="exact"/>
        <w:rPr>
          <w:rFonts w:ascii="Times New Roman" w:cs="Times New Roman" w:eastAsia="Times New Roman" w:hAnsi="Times New Roman"/>
          <w:sz w:val="14"/>
          <w:szCs w:val="14"/>
          <w:color w:val="auto"/>
        </w:rPr>
      </w:pPr>
    </w:p>
    <w:p>
      <w:pPr>
        <w:ind w:left="2140" w:right="499" w:hanging="333"/>
        <w:spacing w:after="0" w:line="279" w:lineRule="auto"/>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2023, filed with the SEC on </w:t>
      </w:r>
      <w:hyperlink r:id="rId67">
        <w:r>
          <w:rPr>
            <w:rFonts w:ascii="Times New Roman" w:cs="Times New Roman" w:eastAsia="Times New Roman" w:hAnsi="Times New Roman"/>
            <w:sz w:val="14"/>
            <w:szCs w:val="14"/>
            <w:u w:val="single" w:color="auto"/>
            <w:color w:val="0000EE"/>
          </w:rPr>
          <w:t>February 29,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incorporated by reference into this prospectus;</w:t>
      </w:r>
    </w:p>
    <w:p>
      <w:pPr>
        <w:spacing w:after="0" w:line="53" w:lineRule="exact"/>
        <w:rPr>
          <w:rFonts w:ascii="Times New Roman" w:cs="Times New Roman" w:eastAsia="Times New Roman" w:hAnsi="Times New Roman"/>
          <w:sz w:val="14"/>
          <w:szCs w:val="14"/>
          <w:color w:val="auto"/>
        </w:rPr>
      </w:pPr>
    </w:p>
    <w:p>
      <w:pPr>
        <w:ind w:left="2140" w:right="519" w:hanging="333"/>
        <w:spacing w:after="0" w:line="279" w:lineRule="auto"/>
        <w:tabs>
          <w:tab w:leader="none" w:pos="2140" w:val="left"/>
        </w:tabs>
        <w:numPr>
          <w:ilvl w:val="0"/>
          <w:numId w:val="20"/>
        </w:numPr>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auto"/>
          </w:rPr>
          <w:t xml:space="preserve">our Quarterly Reports on Form 10-Q for the quarterly periods ended March 31, 2024 and June 30, 2024, filed with the SEC on </w:t>
        </w:r>
        <w:r>
          <w:rPr>
            <w:rFonts w:ascii="Times New Roman" w:cs="Times New Roman" w:eastAsia="Times New Roman" w:hAnsi="Times New Roman"/>
            <w:sz w:val="14"/>
            <w:szCs w:val="14"/>
            <w:u w:val="single" w:color="auto"/>
            <w:color w:val="0000EE"/>
          </w:rPr>
          <w:t>May 9,</w:t>
        </w:r>
      </w:hyperlink>
      <w:r>
        <w:rPr>
          <w:rFonts w:ascii="Times New Roman" w:cs="Times New Roman" w:eastAsia="Times New Roman" w:hAnsi="Times New Roman"/>
          <w:sz w:val="14"/>
          <w:szCs w:val="14"/>
          <w:color w:val="auto"/>
        </w:rPr>
        <w:t xml:space="preserve"> </w:t>
      </w:r>
      <w:hyperlink r:id="rId68">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69">
        <w:r>
          <w:rPr>
            <w:rFonts w:ascii="Times New Roman" w:cs="Times New Roman" w:eastAsia="Times New Roman" w:hAnsi="Times New Roman"/>
            <w:sz w:val="14"/>
            <w:szCs w:val="14"/>
            <w:u w:val="single" w:color="auto"/>
            <w:color w:val="0000EE"/>
          </w:rPr>
          <w:t>August 9, 2024</w:t>
        </w:r>
      </w:hyperlink>
      <w:hyperlink r:id="rId68">
        <w:r>
          <w:rPr>
            <w:rFonts w:ascii="Times New Roman" w:cs="Times New Roman" w:eastAsia="Times New Roman" w:hAnsi="Times New Roman"/>
            <w:sz w:val="14"/>
            <w:szCs w:val="14"/>
            <w:color w:val="000000"/>
          </w:rPr>
          <w:t>, respectively, and incorporated by reference into this prospectus; and</w:t>
        </w:r>
      </w:hyperlink>
    </w:p>
    <w:p>
      <w:pPr>
        <w:spacing w:after="0" w:line="53" w:lineRule="exact"/>
        <w:rPr>
          <w:rFonts w:ascii="Times New Roman" w:cs="Times New Roman" w:eastAsia="Times New Roman" w:hAnsi="Times New Roman"/>
          <w:sz w:val="14"/>
          <w:szCs w:val="14"/>
          <w:color w:val="0000EE"/>
        </w:rPr>
      </w:pPr>
    </w:p>
    <w:p>
      <w:pPr>
        <w:ind w:left="5600" w:right="439" w:hanging="3793"/>
        <w:spacing w:after="0" w:line="450" w:lineRule="auto"/>
        <w:tabs>
          <w:tab w:leader="none" w:pos="213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documents that we file with the SEC after the date of this prospectus and that are deemed incorporated by reference into this prospectus. 5</w:t>
      </w:r>
    </w:p>
    <w:p>
      <w:pPr>
        <w:sectPr>
          <w:pgSz w:w="11900" w:h="16838" w:orient="portrait"/>
          <w:cols w:equalWidth="0" w:num="1">
            <w:col w:w="10159"/>
          </w:cols>
          <w:pgMar w:left="300" w:top="383"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w:t>
      </w:r>
      <w:r>
        <w:rPr>
          <w:rFonts w:ascii="Times New Roman" w:cs="Times New Roman" w:eastAsia="Times New Roman" w:hAnsi="Times New Roman"/>
          <w:sz w:val="11"/>
          <w:szCs w:val="11"/>
          <w:b w:val="1"/>
          <w:bCs w:val="1"/>
          <w:color w:val="auto"/>
        </w:rPr>
        <w:t>SE OF</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ROCEEDS</w:t>
      </w:r>
    </w:p>
    <w:p>
      <w:pPr>
        <w:spacing w:after="0" w:line="175" w:lineRule="exact"/>
        <w:rPr>
          <w:sz w:val="20"/>
          <w:szCs w:val="20"/>
          <w:color w:val="auto"/>
        </w:rPr>
      </w:pPr>
    </w:p>
    <w:p>
      <w:pPr>
        <w:ind w:left="1400" w:right="359" w:firstLine="340"/>
        <w:spacing w:after="0" w:line="279" w:lineRule="auto"/>
        <w:rPr>
          <w:sz w:val="20"/>
          <w:szCs w:val="20"/>
          <w:color w:val="auto"/>
        </w:rPr>
      </w:pPr>
      <w:r>
        <w:rPr>
          <w:rFonts w:ascii="Times New Roman" w:cs="Times New Roman" w:eastAsia="Times New Roman" w:hAnsi="Times New Roman"/>
          <w:sz w:val="14"/>
          <w:szCs w:val="14"/>
          <w:color w:val="auto"/>
        </w:rPr>
        <w:t>Unless we inform you otherwise in a supplement to this prospectus, we anticipate using any net proceeds received by us from the issuance of any of the offered securities for general corporate purposes, including, among others:</w:t>
      </w:r>
    </w:p>
    <w:p>
      <w:pPr>
        <w:spacing w:after="0" w:line="53" w:lineRule="exact"/>
        <w:rPr>
          <w:sz w:val="20"/>
          <w:szCs w:val="20"/>
          <w:color w:val="auto"/>
        </w:rPr>
      </w:pPr>
    </w:p>
    <w:p>
      <w:pPr>
        <w:ind w:left="2140" w:hanging="333"/>
        <w:spacing w:after="0"/>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of debt;</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retirement or refinancing of other securities;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funding of construction expenditures;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w:t>
      </w:r>
    </w:p>
    <w:p>
      <w:pPr>
        <w:spacing w:after="0" w:line="173" w:lineRule="exact"/>
        <w:rPr>
          <w:sz w:val="20"/>
          <w:szCs w:val="20"/>
          <w:color w:val="auto"/>
        </w:rPr>
      </w:pPr>
    </w:p>
    <w:p>
      <w:pPr>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Pending such uses, we may also invest the proceeds in certificates of deposit, United States government securities or certain other short-term interest-bearing securities. If we decide to use the net proceeds from a particular offering of securities for a specific purpose, we will describe that in the related prospectus supplement.</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ESCRIPTION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ECURITIES</w:t>
      </w:r>
    </w:p>
    <w:p>
      <w:pPr>
        <w:spacing w:after="0" w:line="17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debt securities, consisting of notes, debentures or other evidence of indebtedness, may be issued from time to time in one or more series:</w:t>
      </w:r>
    </w:p>
    <w:p>
      <w:pPr>
        <w:spacing w:after="0" w:line="100" w:lineRule="exact"/>
        <w:rPr>
          <w:sz w:val="20"/>
          <w:szCs w:val="20"/>
          <w:color w:val="auto"/>
        </w:rPr>
      </w:pPr>
    </w:p>
    <w:p>
      <w:pPr>
        <w:ind w:left="2140" w:right="399" w:hanging="333"/>
        <w:spacing w:after="0" w:line="279" w:lineRule="auto"/>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senior debt securities, under a senior indenture dated August 1, 1998, which we refer to as the senior indenture, between us and Deutsche Bank Trust Company Americas, formerly known as Bankers Trust Company, as trustee (the trustee); and</w:t>
      </w:r>
    </w:p>
    <w:p>
      <w:pPr>
        <w:spacing w:after="0" w:line="53" w:lineRule="exact"/>
        <w:rPr>
          <w:rFonts w:ascii="Times New Roman" w:cs="Times New Roman" w:eastAsia="Times New Roman" w:hAnsi="Times New Roman"/>
          <w:sz w:val="14"/>
          <w:szCs w:val="14"/>
          <w:color w:val="auto"/>
        </w:rPr>
      </w:pPr>
    </w:p>
    <w:p>
      <w:pPr>
        <w:ind w:left="2140" w:right="399" w:hanging="333"/>
        <w:spacing w:after="0" w:line="279" w:lineRule="auto"/>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subordinated debt securities, under a subordinated indenture, which we refer to as the subordinated indenture, to be entered into between us and The Bank of New York Mellon Trust Company, N.A., as trustee.</w:t>
      </w:r>
    </w:p>
    <w:p>
      <w:pPr>
        <w:spacing w:after="0" w:line="126"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The senior indenture is included, and the subordinated indenture will be substantially in the form included, as exhibits to the registration statement of which this prospectus is a part.</w:t>
      </w:r>
    </w:p>
    <w:p>
      <w:pPr>
        <w:spacing w:after="0" w:line="126"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this prospectus under the caption “Description of Debt Securities,” the terms “we,” “us” and “our” refer solely to Evergy Kansas Central, Inc. and such references do not include any subsidiaries or affiliates (including the parent company) of Evergy Kansas Central, Inc.</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w:t>
      </w:r>
    </w:p>
    <w:p>
      <w:pPr>
        <w:spacing w:after="0" w:line="139" w:lineRule="exact"/>
        <w:rPr>
          <w:sz w:val="20"/>
          <w:szCs w:val="20"/>
          <w:color w:val="auto"/>
        </w:rPr>
      </w:pPr>
    </w:p>
    <w:p>
      <w:pPr>
        <w:ind w:left="1400" w:right="499" w:firstLine="340"/>
        <w:spacing w:after="0" w:line="279" w:lineRule="auto"/>
        <w:rPr>
          <w:sz w:val="20"/>
          <w:szCs w:val="20"/>
          <w:color w:val="auto"/>
        </w:rPr>
      </w:pPr>
      <w:r>
        <w:rPr>
          <w:rFonts w:ascii="Times New Roman" w:cs="Times New Roman" w:eastAsia="Times New Roman" w:hAnsi="Times New Roman"/>
          <w:sz w:val="14"/>
          <w:szCs w:val="14"/>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43" w:lineRule="exact"/>
        <w:rPr>
          <w:sz w:val="20"/>
          <w:szCs w:val="20"/>
          <w:color w:val="auto"/>
        </w:rPr>
      </w:pPr>
    </w:p>
    <w:p>
      <w:pPr>
        <w:ind w:left="1920" w:hanging="190"/>
        <w:spacing w:after="0"/>
        <w:tabs>
          <w:tab w:leader="none" w:pos="1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currency or composite currency and denominations;</w:t>
      </w:r>
    </w:p>
    <w:p>
      <w:pPr>
        <w:spacing w:after="0" w:line="172" w:lineRule="exact"/>
        <w:rPr>
          <w:rFonts w:ascii="Times New Roman" w:cs="Times New Roman" w:eastAsia="Times New Roman" w:hAnsi="Times New Roman"/>
          <w:sz w:val="14"/>
          <w:szCs w:val="14"/>
          <w:color w:val="auto"/>
        </w:rPr>
      </w:pPr>
    </w:p>
    <w:p>
      <w:pPr>
        <w:ind w:left="1400" w:right="359" w:firstLine="330"/>
        <w:spacing w:after="0" w:line="279" w:lineRule="auto"/>
        <w:tabs>
          <w:tab w:leader="none" w:pos="19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such debt securities will be issued and, if an index formula or other method is used, the method for determining amounts of principal or interest;</w:t>
      </w:r>
    </w:p>
    <w:p>
      <w:pPr>
        <w:spacing w:after="0" w:line="126"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and other dates, if any, on which principal will be payable;</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(which may be fixed or variable), if any;</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will accrue and on which interest will be payable, and the record dates for the payment of interest;</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paying principal and interest;</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and interest will be payable;</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mandatory or optional redemption by Evergy Kansas Central or any third party including any sinking fund;</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conversion or exchange;</w:t>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2000" w:hanging="270"/>
        <w:spacing w:after="0"/>
        <w:tabs>
          <w:tab w:leader="none" w:pos="2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redemption at the option of holders or put by the holders;</w:t>
      </w:r>
    </w:p>
    <w:p>
      <w:pPr>
        <w:spacing w:after="0" w:line="172" w:lineRule="exact"/>
        <w:rPr>
          <w:rFonts w:ascii="Times New Roman" w:cs="Times New Roman" w:eastAsia="Times New Roman" w:hAnsi="Times New Roman"/>
          <w:sz w:val="14"/>
          <w:szCs w:val="14"/>
          <w:color w:val="auto"/>
        </w:rPr>
      </w:pPr>
    </w:p>
    <w:p>
      <w:pPr>
        <w:ind w:left="2000" w:hanging="270"/>
        <w:spacing w:after="0"/>
        <w:tabs>
          <w:tab w:leader="none" w:pos="2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 indemnity provisions;</w:t>
      </w:r>
    </w:p>
    <w:p>
      <w:pPr>
        <w:spacing w:after="0" w:line="172" w:lineRule="exact"/>
        <w:rPr>
          <w:rFonts w:ascii="Times New Roman" w:cs="Times New Roman" w:eastAsia="Times New Roman" w:hAnsi="Times New Roman"/>
          <w:sz w:val="14"/>
          <w:szCs w:val="14"/>
          <w:color w:val="auto"/>
        </w:rPr>
      </w:pPr>
    </w:p>
    <w:p>
      <w:pPr>
        <w:ind w:left="1400" w:right="559" w:firstLine="330"/>
        <w:spacing w:after="0" w:line="279" w:lineRule="auto"/>
        <w:tabs>
          <w:tab w:leader="none" w:pos="200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provide that payments of principal or interest may be made in a currency other than that in which debt securities are denominated, the manner for determining such payments;</w:t>
      </w:r>
    </w:p>
    <w:p>
      <w:pPr>
        <w:spacing w:after="0" w:line="126" w:lineRule="exact"/>
        <w:rPr>
          <w:rFonts w:ascii="Times New Roman" w:cs="Times New Roman" w:eastAsia="Times New Roman" w:hAnsi="Times New Roman"/>
          <w:sz w:val="14"/>
          <w:szCs w:val="14"/>
          <w:color w:val="auto"/>
        </w:rPr>
      </w:pPr>
    </w:p>
    <w:p>
      <w:pPr>
        <w:ind w:left="2000" w:hanging="270"/>
        <w:spacing w:after="0"/>
        <w:tabs>
          <w:tab w:leader="none" w:pos="2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payable upon acceleration of a Discounted Debt Security (as defined below);</w:t>
      </w:r>
    </w:p>
    <w:p>
      <w:pPr>
        <w:spacing w:after="0" w:line="172" w:lineRule="exact"/>
        <w:rPr>
          <w:rFonts w:ascii="Times New Roman" w:cs="Times New Roman" w:eastAsia="Times New Roman" w:hAnsi="Times New Roman"/>
          <w:sz w:val="14"/>
          <w:szCs w:val="14"/>
          <w:color w:val="auto"/>
        </w:rPr>
      </w:pPr>
    </w:p>
    <w:p>
      <w:pPr>
        <w:ind w:left="2000" w:hanging="270"/>
        <w:spacing w:after="0"/>
        <w:tabs>
          <w:tab w:leader="none" w:pos="2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upon what terms debt securities may be defeased;</w:t>
      </w:r>
    </w:p>
    <w:p>
      <w:pPr>
        <w:spacing w:after="0" w:line="172" w:lineRule="exact"/>
        <w:rPr>
          <w:rFonts w:ascii="Times New Roman" w:cs="Times New Roman" w:eastAsia="Times New Roman" w:hAnsi="Times New Roman"/>
          <w:sz w:val="14"/>
          <w:szCs w:val="14"/>
          <w:color w:val="auto"/>
        </w:rPr>
      </w:pPr>
    </w:p>
    <w:p>
      <w:pPr>
        <w:ind w:left="2000" w:hanging="270"/>
        <w:spacing w:after="0"/>
        <w:tabs>
          <w:tab w:leader="none" w:pos="2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or covenants in addition to or in lieu of those set forth in the indentures;</w:t>
      </w:r>
    </w:p>
    <w:p>
      <w:pPr>
        <w:spacing w:after="0" w:line="172" w:lineRule="exact"/>
        <w:rPr>
          <w:rFonts w:ascii="Times New Roman" w:cs="Times New Roman" w:eastAsia="Times New Roman" w:hAnsi="Times New Roman"/>
          <w:sz w:val="14"/>
          <w:szCs w:val="14"/>
          <w:color w:val="auto"/>
        </w:rPr>
      </w:pPr>
    </w:p>
    <w:p>
      <w:pPr>
        <w:ind w:left="2000" w:hanging="270"/>
        <w:spacing w:after="0"/>
        <w:tabs>
          <w:tab w:leader="none" w:pos="2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electronic issuance of debt securities or for debt securities in uncertificated form;</w:t>
      </w:r>
    </w:p>
    <w:p>
      <w:pPr>
        <w:spacing w:after="0" w:line="172" w:lineRule="exact"/>
        <w:rPr>
          <w:rFonts w:ascii="Times New Roman" w:cs="Times New Roman" w:eastAsia="Times New Roman" w:hAnsi="Times New Roman"/>
          <w:sz w:val="14"/>
          <w:szCs w:val="14"/>
          <w:color w:val="auto"/>
        </w:rPr>
      </w:pPr>
    </w:p>
    <w:p>
      <w:pPr>
        <w:ind w:left="2000" w:hanging="270"/>
        <w:spacing w:after="0"/>
        <w:tabs>
          <w:tab w:leader="none" w:pos="2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“reopen” a series of debt securities and issue additional debt securities of such series; and</w:t>
      </w:r>
    </w:p>
    <w:p>
      <w:pPr>
        <w:spacing w:after="0" w:line="172" w:lineRule="exact"/>
        <w:rPr>
          <w:rFonts w:ascii="Times New Roman" w:cs="Times New Roman" w:eastAsia="Times New Roman" w:hAnsi="Times New Roman"/>
          <w:sz w:val="14"/>
          <w:szCs w:val="14"/>
          <w:color w:val="auto"/>
        </w:rPr>
      </w:pPr>
    </w:p>
    <w:p>
      <w:pPr>
        <w:ind w:left="1400" w:right="459" w:firstLine="330"/>
        <w:spacing w:after="0" w:line="319" w:lineRule="auto"/>
        <w:tabs>
          <w:tab w:leader="none" w:pos="2007"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03"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Debt securities of any series may be issued as registered debt securities, bearer debt securities or uncertificated debt securities, and in such denominations as specified in the terms of the series. In connection with its original issuance, no bearer security will be offered, sold or delivered to any location in the United States, and a bearer security in definitive form may be delivered in connection with its original issuance only upon presentation of a certificate in a form prescribed by Evergy Kansas Central to comply with United States laws and regulations. 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indentures.</w:t>
      </w:r>
    </w:p>
    <w:p>
      <w:pPr>
        <w:spacing w:after="0" w:line="147" w:lineRule="exact"/>
        <w:rPr>
          <w:sz w:val="20"/>
          <w:szCs w:val="20"/>
          <w:color w:val="auto"/>
        </w:rPr>
      </w:pPr>
    </w:p>
    <w:p>
      <w:pPr>
        <w:ind w:left="1400" w:right="479" w:firstLine="340"/>
        <w:spacing w:after="0" w:line="256" w:lineRule="auto"/>
        <w:rPr>
          <w:sz w:val="20"/>
          <w:szCs w:val="20"/>
          <w:color w:val="auto"/>
        </w:rPr>
      </w:pPr>
      <w:r>
        <w:rPr>
          <w:rFonts w:ascii="Times New Roman" w:cs="Times New Roman" w:eastAsia="Times New Roman" w:hAnsi="Times New Roman"/>
          <w:sz w:val="14"/>
          <w:szCs w:val="14"/>
          <w:color w:val="auto"/>
        </w:rPr>
        <w:t>Debt securities will bear interest at a fixed rate or a floating rate. Securities may be issued under the senior or subordinated indentures as Discounted Debt Securities to be offered and sold at a substantial discount from the principal amount thereof. “Discounted Debt Security” means a security where the amount of principal due upon acceleration is less than the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42"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47" w:lineRule="exact"/>
        <w:rPr>
          <w:sz w:val="20"/>
          <w:szCs w:val="20"/>
          <w:color w:val="auto"/>
        </w:rPr>
      </w:pPr>
    </w:p>
    <w:p>
      <w:pPr>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We only have a shareholder’s claim on the assets of our subsidiaries. This shareholder’s claim is junior to the claims that creditors of our subsidiaries have against our subsidiaries (other than subsidiary guarantors). Holders of our debt securities are our creditors and not creditors of any of our subsidiaries (other than subsidiary</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399"/>
        <w:spacing w:after="0" w:line="264" w:lineRule="auto"/>
        <w:rPr>
          <w:sz w:val="20"/>
          <w:szCs w:val="20"/>
          <w:color w:val="auto"/>
        </w:rPr>
      </w:pPr>
      <w:r>
        <w:rPr>
          <w:rFonts w:ascii="Times New Roman" w:cs="Times New Roman" w:eastAsia="Times New Roman" w:hAnsi="Times New Roman"/>
          <w:sz w:val="14"/>
          <w:szCs w:val="14"/>
          <w:color w:val="auto"/>
        </w:rPr>
        <w:t>guarantors). As a result, all the existing and future liabilities of our subsidiaries (other than any subsidiary guarantors with respect to any series of debt securities that may be guaranteed), including any claims of their creditors, are structurally senior to the debt securities with respect to the assets of our subsidiaries.</w:t>
      </w:r>
    </w:p>
    <w:p>
      <w:pPr>
        <w:spacing w:after="0" w:line="136"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Our ability to pay our obligations, including our obligation to pay interest on the debt securities, to repay the principal amount of the debt securities at maturity or upon redemption or to buy back the debt securities will depend in part upon our subsidiaries’ earnings and their distribution of those earnings to us and upon our subsidiaries repaying investments and advances we have made to them. Our subsidiaries are separate and distinct legal entities and, except for any subsidiary guarantors with respect to any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w:t>
      </w:r>
    </w:p>
    <w:p>
      <w:pPr>
        <w:spacing w:after="0" w:line="147" w:lineRule="exact"/>
        <w:rPr>
          <w:sz w:val="20"/>
          <w:szCs w:val="20"/>
          <w:color w:val="auto"/>
        </w:rPr>
      </w:pPr>
    </w:p>
    <w:p>
      <w:pPr>
        <w:ind w:left="1400" w:right="479" w:firstLine="340"/>
        <w:spacing w:after="0" w:line="264" w:lineRule="auto"/>
        <w:rPr>
          <w:sz w:val="20"/>
          <w:szCs w:val="20"/>
          <w:color w:val="auto"/>
        </w:rPr>
      </w:pPr>
      <w:r>
        <w:rPr>
          <w:rFonts w:ascii="Times New Roman" w:cs="Times New Roman" w:eastAsia="Times New Roman" w:hAnsi="Times New Roman"/>
          <w:sz w:val="14"/>
          <w:szCs w:val="14"/>
          <w:color w:val="auto"/>
        </w:rPr>
        <w:t>The debt securities are unsecured obligations. Our secured debt is effectively senior to the debt securities to the extent of the value of the assets securing such secured debt. Substantially all of our utility assets are subject to liens under the mortgage pursuant to which we have issued our first mortgage bonds.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Terms of the Senior Debt Securities</w:t>
      </w:r>
    </w:p>
    <w:p>
      <w:pPr>
        <w:spacing w:after="0" w:line="91"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Our obligations under the senior debt securities, including the payment of principal, premium, if any, and interest, may be fully and unconditionally guaranteed by one or more of our wholly-owned subsidiaries named in a prospectus supplement. Such guarantees will rank equally with all other general unsecured and unsubordinated obligations of such subsidiary guarantors.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Any covenants which may apply to a particular series of senior debt securities will be described in the prospectus supplement relating thereto.</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Successor Obligor</w:t>
      </w:r>
    </w:p>
    <w:p>
      <w:pPr>
        <w:spacing w:after="0" w:line="91" w:lineRule="exact"/>
        <w:rPr>
          <w:sz w:val="20"/>
          <w:szCs w:val="20"/>
          <w:color w:val="auto"/>
        </w:rPr>
      </w:pPr>
    </w:p>
    <w:p>
      <w:pPr>
        <w:jc w:val="both"/>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The senior indenture provides that, unless otherwise specified in the securities resolution or supplemental indenture establishing a series of senior debt securities, we shall not consolidate with or merge into, or transfer all or substantially all of its assets to, any person in any transaction in which we are not the survivor, unless:</w:t>
      </w:r>
    </w:p>
    <w:p>
      <w:pPr>
        <w:spacing w:after="0" w:line="53" w:lineRule="exact"/>
        <w:rPr>
          <w:sz w:val="20"/>
          <w:szCs w:val="20"/>
          <w:color w:val="auto"/>
        </w:rPr>
      </w:pPr>
    </w:p>
    <w:p>
      <w:pPr>
        <w:ind w:left="1400" w:right="699" w:firstLine="330"/>
        <w:spacing w:after="0" w:line="279" w:lineRule="auto"/>
        <w:tabs>
          <w:tab w:leader="none" w:pos="193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is organized under the laws of the United States or a State thereof or is organized under the laws of a foreign jurisdiction and consents to the jurisdiction of the courts of the United States or a State thereof;</w:t>
      </w:r>
    </w:p>
    <w:p>
      <w:pPr>
        <w:spacing w:after="0" w:line="126"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assumes by supplemental indenture all of our obligations under the senior indenture, the senior debt securities and any coupons;</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required approvals of any regulatory body having jurisdiction over the transaction shall have been obtained; and</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the transaction no Default (as defined in “—Default and Remedies”) exists.</w:t>
      </w:r>
    </w:p>
    <w:p>
      <w:pPr>
        <w:spacing w:after="0" w:line="173"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The successor shall be substituted for us, and thereafter all our obligations under the senior indenture, the senior debt securities and any coupons shall terminate.</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Exchange of Debt Securities</w:t>
      </w:r>
    </w:p>
    <w:p>
      <w:pPr>
        <w:spacing w:after="0" w:line="91"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Registered senior debt securities may be exchanged for an equal aggregate principal amount of registered senior debt securities of the same series and date of maturity in such authorized denominations as may be requested upon surrender of the registered senior debt securities at an agency maintained by us for such purpose and upon fulfillment of all other requirements of such agent.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Default and Remedies</w:t>
      </w:r>
    </w:p>
    <w:p>
      <w:pPr>
        <w:spacing w:after="0" w:line="91" w:lineRule="exact"/>
        <w:rPr>
          <w:sz w:val="20"/>
          <w:szCs w:val="20"/>
          <w:color w:val="auto"/>
        </w:rPr>
      </w:pPr>
    </w:p>
    <w:p>
      <w:pPr>
        <w:ind w:left="1400" w:right="459" w:firstLine="340"/>
        <w:spacing w:after="0" w:line="279" w:lineRule="auto"/>
        <w:rPr>
          <w:sz w:val="20"/>
          <w:szCs w:val="20"/>
          <w:color w:val="auto"/>
        </w:rPr>
      </w:pPr>
      <w:r>
        <w:rPr>
          <w:rFonts w:ascii="Times New Roman" w:cs="Times New Roman" w:eastAsia="Times New Roman" w:hAnsi="Times New Roman"/>
          <w:sz w:val="14"/>
          <w:szCs w:val="14"/>
          <w:color w:val="auto"/>
        </w:rPr>
        <w:t>Unless the securities resolution or supplemental indenture establishing the series otherwise provides (in which event the prospectus supplement will so state), an “Event of Default” with respect to a series of senior debt securities will occur if:</w:t>
      </w:r>
    </w:p>
    <w:p>
      <w:pPr>
        <w:spacing w:after="0" w:line="43" w:lineRule="exact"/>
        <w:rPr>
          <w:sz w:val="20"/>
          <w:szCs w:val="20"/>
          <w:color w:val="auto"/>
        </w:rPr>
      </w:pPr>
    </w:p>
    <w:p>
      <w:pPr>
        <w:ind w:left="1400" w:right="499" w:firstLine="330"/>
        <w:spacing w:after="0" w:line="279" w:lineRule="auto"/>
        <w:tabs>
          <w:tab w:leader="none" w:pos="193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Obligor defaults in any payment of interest on any senior debt securities of such series when the same becomes due and payable and the default continues for a period of 60 days;</w:t>
      </w:r>
    </w:p>
    <w:p>
      <w:pPr>
        <w:spacing w:after="0" w:line="126" w:lineRule="exact"/>
        <w:rPr>
          <w:rFonts w:ascii="Times New Roman" w:cs="Times New Roman" w:eastAsia="Times New Roman" w:hAnsi="Times New Roman"/>
          <w:sz w:val="14"/>
          <w:szCs w:val="14"/>
          <w:color w:val="auto"/>
        </w:rPr>
      </w:pPr>
    </w:p>
    <w:p>
      <w:pPr>
        <w:ind w:left="1400" w:right="459" w:firstLine="330"/>
        <w:spacing w:after="0" w:line="279" w:lineRule="auto"/>
        <w:tabs>
          <w:tab w:leader="none" w:pos="193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Obligor defaults in the payment of the principal and premium, if any, of any senior debt securities of such series when the same becomes due and payable at maturity or upon redemption, acceleration or otherwise and such default shall continue for five or more days;</w:t>
      </w:r>
    </w:p>
    <w:p>
      <w:pPr>
        <w:spacing w:after="0" w:line="126" w:lineRule="exact"/>
        <w:rPr>
          <w:rFonts w:ascii="Times New Roman" w:cs="Times New Roman" w:eastAsia="Times New Roman" w:hAnsi="Times New Roman"/>
          <w:sz w:val="14"/>
          <w:szCs w:val="14"/>
          <w:color w:val="auto"/>
        </w:rPr>
      </w:pPr>
    </w:p>
    <w:p>
      <w:pPr>
        <w:ind w:left="1400" w:right="519" w:firstLine="330"/>
        <w:spacing w:after="0" w:line="279" w:lineRule="auto"/>
        <w:tabs>
          <w:tab w:leader="none" w:pos="193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Obligor defaults in the payment or satisfaction of any sinking fund obligation with respect to any senior debt securities of such series as required by the securities resolution or supplemental indenture establishing such series and the default continues for a period of 60 days;</w:t>
      </w:r>
    </w:p>
    <w:p>
      <w:pPr>
        <w:spacing w:after="0" w:line="126" w:lineRule="exact"/>
        <w:rPr>
          <w:rFonts w:ascii="Times New Roman" w:cs="Times New Roman" w:eastAsia="Times New Roman" w:hAnsi="Times New Roman"/>
          <w:sz w:val="14"/>
          <w:szCs w:val="14"/>
          <w:color w:val="auto"/>
        </w:rPr>
      </w:pPr>
    </w:p>
    <w:p>
      <w:pPr>
        <w:ind w:left="1400" w:right="499" w:firstLine="330"/>
        <w:spacing w:after="0" w:line="279" w:lineRule="auto"/>
        <w:tabs>
          <w:tab w:leader="none" w:pos="193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Obligor defaults in the performance of any of its other agreements applicable to the series and the default continues for 90 days after the notice specified below;</w:t>
      </w:r>
    </w:p>
    <w:p>
      <w:pPr>
        <w:spacing w:after="0" w:line="126"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Obligor pursuant to or within the meaning of any Bankruptcy Law:</w:t>
      </w:r>
    </w:p>
    <w:p>
      <w:pPr>
        <w:spacing w:after="0" w:line="89" w:lineRule="exact"/>
        <w:rPr>
          <w:rFonts w:ascii="Times New Roman" w:cs="Times New Roman" w:eastAsia="Times New Roman" w:hAnsi="Times New Roman"/>
          <w:sz w:val="14"/>
          <w:szCs w:val="14"/>
          <w:color w:val="auto"/>
        </w:rPr>
      </w:pPr>
    </w:p>
    <w:p>
      <w:pPr>
        <w:ind w:left="2280" w:hanging="223"/>
        <w:spacing w:after="0"/>
        <w:tabs>
          <w:tab w:leader="none" w:pos="22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89" w:lineRule="exact"/>
        <w:rPr>
          <w:rFonts w:ascii="Times New Roman" w:cs="Times New Roman" w:eastAsia="Times New Roman" w:hAnsi="Times New Roman"/>
          <w:sz w:val="14"/>
          <w:szCs w:val="14"/>
          <w:color w:val="auto"/>
        </w:rPr>
      </w:pPr>
    </w:p>
    <w:p>
      <w:pPr>
        <w:ind w:left="2280" w:hanging="223"/>
        <w:spacing w:after="0"/>
        <w:tabs>
          <w:tab w:leader="none" w:pos="22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89" w:lineRule="exact"/>
        <w:rPr>
          <w:rFonts w:ascii="Times New Roman" w:cs="Times New Roman" w:eastAsia="Times New Roman" w:hAnsi="Times New Roman"/>
          <w:sz w:val="14"/>
          <w:szCs w:val="14"/>
          <w:color w:val="auto"/>
        </w:rPr>
      </w:pPr>
    </w:p>
    <w:p>
      <w:pPr>
        <w:ind w:left="2280" w:hanging="223"/>
        <w:spacing w:after="0"/>
        <w:tabs>
          <w:tab w:leader="none" w:pos="22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for it or for all or substantially all of its property; or</w:t>
      </w:r>
    </w:p>
    <w:p>
      <w:pPr>
        <w:spacing w:after="0" w:line="89" w:lineRule="exact"/>
        <w:rPr>
          <w:rFonts w:ascii="Times New Roman" w:cs="Times New Roman" w:eastAsia="Times New Roman" w:hAnsi="Times New Roman"/>
          <w:sz w:val="14"/>
          <w:szCs w:val="14"/>
          <w:color w:val="auto"/>
        </w:rPr>
      </w:pPr>
    </w:p>
    <w:p>
      <w:pPr>
        <w:ind w:left="2280" w:hanging="223"/>
        <w:spacing w:after="0"/>
        <w:tabs>
          <w:tab w:leader="none" w:pos="22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89" w:lineRule="exact"/>
        <w:rPr>
          <w:rFonts w:ascii="Times New Roman" w:cs="Times New Roman" w:eastAsia="Times New Roman" w:hAnsi="Times New Roman"/>
          <w:sz w:val="14"/>
          <w:szCs w:val="14"/>
          <w:color w:val="auto"/>
        </w:rPr>
      </w:pPr>
    </w:p>
    <w:p>
      <w:pPr>
        <w:ind w:left="2280" w:hanging="223"/>
        <w:spacing w:after="0"/>
        <w:tabs>
          <w:tab w:leader="none" w:pos="22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an Obligor in an involuntary case;</w:t>
      </w:r>
    </w:p>
    <w:p>
      <w:pPr>
        <w:spacing w:after="0" w:line="89" w:lineRule="exact"/>
        <w:rPr>
          <w:rFonts w:ascii="Times New Roman" w:cs="Times New Roman" w:eastAsia="Times New Roman" w:hAnsi="Times New Roman"/>
          <w:sz w:val="14"/>
          <w:szCs w:val="14"/>
          <w:color w:val="auto"/>
        </w:rPr>
      </w:pPr>
    </w:p>
    <w:p>
      <w:pPr>
        <w:ind w:left="2280" w:hanging="223"/>
        <w:spacing w:after="0"/>
        <w:tabs>
          <w:tab w:leader="none" w:pos="22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for an Obligor or for all or substantially all of its property; or</w:t>
      </w:r>
    </w:p>
    <w:p>
      <w:pPr>
        <w:spacing w:after="0" w:line="89" w:lineRule="exact"/>
        <w:rPr>
          <w:rFonts w:ascii="Times New Roman" w:cs="Times New Roman" w:eastAsia="Times New Roman" w:hAnsi="Times New Roman"/>
          <w:sz w:val="14"/>
          <w:szCs w:val="14"/>
          <w:color w:val="auto"/>
        </w:rPr>
      </w:pPr>
    </w:p>
    <w:p>
      <w:pPr>
        <w:ind w:left="2280" w:hanging="223"/>
        <w:spacing w:after="0"/>
        <w:tabs>
          <w:tab w:leader="none" w:pos="22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an Obligor, and the order or decree remains unstayed and in effect for 60 days; or</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occurs any other Event of Default provided for in such series.</w:t>
      </w:r>
    </w:p>
    <w:p>
      <w:pPr>
        <w:spacing w:after="0" w:line="173" w:lineRule="exact"/>
        <w:rPr>
          <w:sz w:val="20"/>
          <w:szCs w:val="20"/>
          <w:color w:val="auto"/>
        </w:rPr>
      </w:pPr>
    </w:p>
    <w:p>
      <w:pPr>
        <w:jc w:val="both"/>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The term “Bankruptcy Law” means Title 11, U.S. Code or any similar Federal or State law for the relief of debtors. The term “Custodian” means any receiver, trustee, assignee, liquidator or a similar official under any Bankruptcy Law.</w:t>
      </w:r>
    </w:p>
    <w:p>
      <w:pPr>
        <w:spacing w:after="0" w:line="126" w:lineRule="exact"/>
        <w:rPr>
          <w:sz w:val="20"/>
          <w:szCs w:val="20"/>
          <w:color w:val="auto"/>
        </w:rPr>
      </w:pPr>
    </w:p>
    <w:p>
      <w:pPr>
        <w:jc w:val="both"/>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“Default” means any event which is, or after notice or passage of time would be, an Event of Default. A Default under subparagraph (4) above is not an Event of Default until the trustee or the holders of at least 33-1/3% in principal amount of the series notify us of the Default and we do not cure the Default within the time specified after receipt of the notice.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799" w:firstLine="340"/>
        <w:spacing w:after="0" w:line="279" w:lineRule="auto"/>
        <w:rPr>
          <w:sz w:val="20"/>
          <w:szCs w:val="20"/>
          <w:color w:val="auto"/>
        </w:rPr>
      </w:pPr>
      <w:r>
        <w:rPr>
          <w:rFonts w:ascii="Times New Roman" w:cs="Times New Roman" w:eastAsia="Times New Roman" w:hAnsi="Times New Roman"/>
          <w:sz w:val="14"/>
          <w:szCs w:val="14"/>
          <w:color w:val="auto"/>
        </w:rPr>
        <w:t>For purposes of this section, the term “Obligor” shall mean each of us and any subsidiary guarantor identified in a securities resolution or supplemental indenture, in each case excluding such entity’s subsidiaries.</w:t>
      </w:r>
    </w:p>
    <w:p>
      <w:pPr>
        <w:spacing w:after="0" w:line="126" w:lineRule="exact"/>
        <w:rPr>
          <w:sz w:val="20"/>
          <w:szCs w:val="20"/>
          <w:color w:val="auto"/>
        </w:rPr>
      </w:pPr>
    </w:p>
    <w:p>
      <w:pPr>
        <w:ind w:left="1400" w:right="379" w:firstLine="340"/>
        <w:spacing w:after="0" w:line="259" w:lineRule="auto"/>
        <w:rPr>
          <w:sz w:val="20"/>
          <w:szCs w:val="20"/>
          <w:color w:val="auto"/>
        </w:rPr>
      </w:pPr>
      <w:r>
        <w:rPr>
          <w:rFonts w:ascii="Times New Roman" w:cs="Times New Roman" w:eastAsia="Times New Roman" w:hAnsi="Times New Roman"/>
          <w:sz w:val="14"/>
          <w:szCs w:val="14"/>
          <w:color w:val="auto"/>
        </w:rPr>
        <w:t>If an Event of Default occurs and is continuing on a series, the trustee by notice to Evergy Kansas Central, or the holders of at least 33-1/3% in principal amount of the series by notice to Evergy Kansas Central and the trustee, may declare the principal of and accrued interest on all the securities of the series to be due and payable immediately. Discounted debt securities may provide that the amount of principal due upon acceleration is less than the stated principal amount.</w:t>
      </w:r>
    </w:p>
    <w:p>
      <w:pPr>
        <w:spacing w:after="0" w:line="139" w:lineRule="exact"/>
        <w:rPr>
          <w:sz w:val="20"/>
          <w:szCs w:val="20"/>
          <w:color w:val="auto"/>
        </w:rPr>
      </w:pPr>
    </w:p>
    <w:p>
      <w:pPr>
        <w:ind w:left="1400" w:right="779" w:firstLine="340"/>
        <w:spacing w:after="0" w:line="264" w:lineRule="auto"/>
        <w:rPr>
          <w:sz w:val="20"/>
          <w:szCs w:val="20"/>
          <w:color w:val="auto"/>
        </w:rPr>
      </w:pPr>
      <w:r>
        <w:rPr>
          <w:rFonts w:ascii="Times New Roman" w:cs="Times New Roman" w:eastAsia="Times New Roman" w:hAnsi="Times New Roman"/>
          <w:sz w:val="14"/>
          <w:szCs w:val="14"/>
          <w:color w:val="auto"/>
        </w:rPr>
        <w:t>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w:t>
      </w:r>
    </w:p>
    <w:p>
      <w:pPr>
        <w:spacing w:after="0" w:line="136"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The trustee may require indemnity satisfactory to it before it enforces the senior indenture or the senior debt securities of the series. Subject to certain limitations, holders of a majority in principal amount of the senior debt securities of the series may direct the trustee in its exercise of any trust or power with respect to such series. The trustee is required, within 90 days after the occurrence thereof, to give to the holders of the senior debt securities notice of all Defaults actually known to the trustee, as provided in the applicable indenture, to have occurred and be continuing. Except in the case of Default in payment on a series, the trustee may withhold from holders of such series notice of any continuing Default if the trustee determines that withholding notice is in the interest of such holders. We are required to furnish the trustee annually a brief certificate as to our compliance with all conditions and covenants under the senior indenture.</w:t>
      </w:r>
    </w:p>
    <w:p>
      <w:pPr>
        <w:spacing w:after="0" w:line="147" w:lineRule="exact"/>
        <w:rPr>
          <w:sz w:val="20"/>
          <w:szCs w:val="20"/>
          <w:color w:val="auto"/>
        </w:rPr>
      </w:pPr>
    </w:p>
    <w:p>
      <w:pPr>
        <w:ind w:left="1400" w:right="479" w:firstLine="340"/>
        <w:spacing w:after="0" w:line="319" w:lineRule="auto"/>
        <w:rPr>
          <w:sz w:val="20"/>
          <w:szCs w:val="20"/>
          <w:color w:val="auto"/>
        </w:rPr>
      </w:pPr>
      <w:r>
        <w:rPr>
          <w:rFonts w:ascii="Times New Roman" w:cs="Times New Roman" w:eastAsia="Times New Roman" w:hAnsi="Times New Roman"/>
          <w:sz w:val="13"/>
          <w:szCs w:val="13"/>
          <w:color w:val="auto"/>
        </w:rPr>
        <w:t>The failure to redeem any senior debt securities when such redemption is subject to the occurrence of a condition prior to redemption, is not an Event of Default if any event on which such redemption is so conditioned does not occur and is not waived before the scheduled redemption date.</w:t>
      </w:r>
    </w:p>
    <w:p>
      <w:pPr>
        <w:spacing w:after="0" w:line="103" w:lineRule="exact"/>
        <w:rPr>
          <w:sz w:val="20"/>
          <w:szCs w:val="20"/>
          <w:color w:val="auto"/>
        </w:rPr>
      </w:pPr>
    </w:p>
    <w:p>
      <w:pPr>
        <w:ind w:left="1400" w:right="259" w:firstLine="340"/>
        <w:spacing w:after="0" w:line="279" w:lineRule="auto"/>
        <w:rPr>
          <w:sz w:val="20"/>
          <w:szCs w:val="20"/>
          <w:color w:val="auto"/>
        </w:rPr>
      </w:pPr>
      <w:r>
        <w:rPr>
          <w:rFonts w:ascii="Times New Roman" w:cs="Times New Roman" w:eastAsia="Times New Roman" w:hAnsi="Times New Roman"/>
          <w:sz w:val="14"/>
          <w:szCs w:val="14"/>
          <w:color w:val="auto"/>
        </w:rPr>
        <w:t>The senior indenture does not have a cross-default provision. Thus, a default by any Obligor on any other debt, including any other series of senior debt securities, would not constitute an Event of Default.</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Amendments and Waivers</w:t>
      </w:r>
    </w:p>
    <w:p>
      <w:pPr>
        <w:spacing w:after="0" w:line="91"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Unless the securities resolution or supplemental indenture otherwise provides (in which event the applicable prospectus supplement will so state), the senior debt securities and the senior indenture may be amended with the consent of the holders of a majority in principal amount of the senior debt securities of all series affected voting as one class. Unless the securities resolution or supplemental indenture otherwise provides (in which event the applicable prospectus supplement will so state), a Default on a particular series may be waived with the consent of the holders of a majority in principal amount of the senior debt securities of the series, except for a Default in payment of interest or principal or a Default in respect of a provision of the senior indenture that cannot be amended without the consent of each holder affected. However, without the consent of each holder affected, no amendment or waiver may:</w:t>
      </w:r>
    </w:p>
    <w:p>
      <w:pPr>
        <w:spacing w:after="0" w:line="63" w:lineRule="exact"/>
        <w:rPr>
          <w:sz w:val="20"/>
          <w:szCs w:val="20"/>
          <w:color w:val="auto"/>
        </w:rPr>
      </w:pPr>
    </w:p>
    <w:p>
      <w:pPr>
        <w:ind w:left="1920" w:hanging="190"/>
        <w:spacing w:after="0"/>
        <w:tabs>
          <w:tab w:leader="none" w:pos="19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senior debt securities whose holders must consent to an amendment or waiver;</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interest on or change the time for payment of interest on any senior debt security;</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fixed maturity of any senior debt security;</w:t>
      </w:r>
    </w:p>
    <w:p>
      <w:pPr>
        <w:spacing w:after="0" w:line="172" w:lineRule="exact"/>
        <w:rPr>
          <w:rFonts w:ascii="Times New Roman" w:cs="Times New Roman" w:eastAsia="Times New Roman" w:hAnsi="Times New Roman"/>
          <w:sz w:val="14"/>
          <w:szCs w:val="14"/>
          <w:color w:val="auto"/>
        </w:rPr>
      </w:pPr>
    </w:p>
    <w:p>
      <w:pPr>
        <w:ind w:left="1400" w:right="279" w:firstLine="330"/>
        <w:spacing w:after="0" w:line="279" w:lineRule="auto"/>
        <w:tabs>
          <w:tab w:leader="none" w:pos="193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any non-Discounted Debt Security or reduce the amount of the principal of any Discounted Debt Security that would be due on acceleration thereof;</w:t>
      </w:r>
    </w:p>
    <w:p>
      <w:pPr>
        <w:spacing w:after="0" w:line="126"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currency in which the principal or interest on a senior debt security is payable;</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920" w:hanging="190"/>
        <w:spacing w:after="0"/>
        <w:tabs>
          <w:tab w:leader="none" w:pos="19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materially adversely affects the right to convert any senior debt security; or</w:t>
      </w:r>
    </w:p>
    <w:p>
      <w:pPr>
        <w:spacing w:after="0" w:line="172" w:lineRule="exact"/>
        <w:rPr>
          <w:rFonts w:ascii="Times New Roman" w:cs="Times New Roman" w:eastAsia="Times New Roman" w:hAnsi="Times New Roman"/>
          <w:sz w:val="14"/>
          <w:szCs w:val="14"/>
          <w:color w:val="auto"/>
        </w:rPr>
      </w:pPr>
    </w:p>
    <w:p>
      <w:pPr>
        <w:jc w:val="both"/>
        <w:ind w:left="1400" w:right="579" w:firstLine="330"/>
        <w:spacing w:after="0" w:line="264" w:lineRule="auto"/>
        <w:tabs>
          <w:tab w:leader="none" w:pos="193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provisions of the senior indenture regarding waiver of Defaults and amendments, except to increase the amount of senior debt securities whose holders must consent to an amendment or waiver, or to provide that other provisions of the senior indenture cannot be amended or waived without the consent of each holder affected thereby.</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Without the consent of any holder, the senior indenture or the senior debt securities may be amended:</w:t>
      </w:r>
    </w:p>
    <w:p>
      <w:pPr>
        <w:spacing w:after="0" w:line="173" w:lineRule="exact"/>
        <w:rPr>
          <w:sz w:val="20"/>
          <w:szCs w:val="20"/>
          <w:color w:val="auto"/>
        </w:rPr>
      </w:pPr>
    </w:p>
    <w:p>
      <w:pPr>
        <w:ind w:left="1920" w:hanging="190"/>
        <w:spacing w:after="0"/>
        <w:tabs>
          <w:tab w:leader="none" w:pos="19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omission, defect or inconsistency;</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assumption of our obligations to securityholders in the event of a merger or consolidation requiring such assumption;</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that specific provisions of the indenture shall not apply to a series of senior debt securities not previously issued;</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create a series and establish its terms;</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a separate trustee for one or more series; or</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materially adversely affect the rights of any holder.</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Legal Defeasance and Covenant Defeasance</w:t>
      </w:r>
    </w:p>
    <w:p>
      <w:pPr>
        <w:spacing w:after="0" w:line="91" w:lineRule="exact"/>
        <w:rPr>
          <w:sz w:val="20"/>
          <w:szCs w:val="20"/>
          <w:color w:val="auto"/>
        </w:rPr>
      </w:pPr>
    </w:p>
    <w:p>
      <w:pPr>
        <w:ind w:left="1400" w:right="379" w:firstLine="340"/>
        <w:spacing w:after="0" w:line="254" w:lineRule="auto"/>
        <w:rPr>
          <w:sz w:val="20"/>
          <w:szCs w:val="20"/>
          <w:color w:val="auto"/>
        </w:rPr>
      </w:pPr>
      <w:r>
        <w:rPr>
          <w:rFonts w:ascii="Times New Roman" w:cs="Times New Roman" w:eastAsia="Times New Roman" w:hAnsi="Times New Roman"/>
          <w:sz w:val="14"/>
          <w:szCs w:val="14"/>
          <w:color w:val="auto"/>
        </w:rPr>
        <w:t>Senior 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senior debt securities and coupons and to maintain paying agencies in respect of the debt securities) with respect to the senior debt securities of the series and any related coupons and the senior indenture (legal defeasance). We at any time may terminate as to a series our obligations with respect to any restrictive covenants which may be applicable to a particular series (covenant defeasance).</w:t>
      </w:r>
    </w:p>
    <w:p>
      <w:pPr>
        <w:spacing w:after="0" w:line="145" w:lineRule="exact"/>
        <w:rPr>
          <w:sz w:val="20"/>
          <w:szCs w:val="20"/>
          <w:color w:val="auto"/>
        </w:rPr>
      </w:pPr>
    </w:p>
    <w:p>
      <w:pPr>
        <w:ind w:left="1400" w:right="459" w:firstLine="340"/>
        <w:spacing w:after="0" w:line="264" w:lineRule="auto"/>
        <w:rPr>
          <w:sz w:val="20"/>
          <w:szCs w:val="20"/>
          <w:color w:val="auto"/>
        </w:rPr>
      </w:pPr>
      <w:r>
        <w:rPr>
          <w:rFonts w:ascii="Times New Roman" w:cs="Times New Roman" w:eastAsia="Times New Roman" w:hAnsi="Times New Roman"/>
          <w:sz w:val="14"/>
          <w:szCs w:val="14"/>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36"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To exercise either defeasance option as to a series, we must (1) irrevocably deposit in trust (the defeasance trust) with the trustee or another trustee, money or U.S. Government Obligations, (2) deliver a certificate from a public accounting firm registered with the Public Company Accounting Oversight Board, expressing such firm’s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senior debt securities of such series to maturity or redemption, as the case may be, and (3) comply with certain other conditions as provided in the applicable indenture. In particular, we must obtain an opinion of tax counsel that the defeasance will not result in recognition of any gain or loss to holders for Federal income tax purposes.</w:t>
      </w:r>
    </w:p>
    <w:p>
      <w:pPr>
        <w:spacing w:after="0" w:line="147" w:lineRule="exact"/>
        <w:rPr>
          <w:sz w:val="20"/>
          <w:szCs w:val="20"/>
          <w:color w:val="auto"/>
        </w:rPr>
      </w:pPr>
    </w:p>
    <w:p>
      <w:pPr>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Regarding the Trustee</w:t>
      </w:r>
    </w:p>
    <w:p>
      <w:pPr>
        <w:spacing w:after="0" w:line="91"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Unless otherwise indicated in a prospectus supplement, the applicable trustee will also act as transfer agent and paying agent with respect to the senior debt securities and the subordinated debt securities. We may remove the trustee with or without cause if we so notify the trustee three months in advance and if no Default occurs during the three-month period. The trustee provides services to us as a depository of funds, registrar, trustee and similar services.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Terms of the Subordinated Debt Securities</w:t>
      </w:r>
    </w:p>
    <w:p>
      <w:pPr>
        <w:spacing w:after="0" w:line="91" w:lineRule="exact"/>
        <w:rPr>
          <w:sz w:val="20"/>
          <w:szCs w:val="20"/>
          <w:color w:val="auto"/>
        </w:rPr>
      </w:pPr>
    </w:p>
    <w:p>
      <w:pPr>
        <w:jc w:val="both"/>
        <w:ind w:left="1400" w:right="579" w:firstLine="340"/>
        <w:spacing w:after="0" w:line="264" w:lineRule="auto"/>
        <w:rPr>
          <w:sz w:val="20"/>
          <w:szCs w:val="20"/>
          <w:color w:val="auto"/>
        </w:rPr>
      </w:pPr>
      <w:r>
        <w:rPr>
          <w:rFonts w:ascii="Times New Roman" w:cs="Times New Roman" w:eastAsia="Times New Roman" w:hAnsi="Times New Roman"/>
          <w:sz w:val="14"/>
          <w:szCs w:val="14"/>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Subordination</w:t>
      </w:r>
    </w:p>
    <w:p>
      <w:pPr>
        <w:spacing w:after="0" w:line="91"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The indebtedness evidenced by the subordinated debt securities is subordinate to the prior payment in full of all our Senior Indebtedness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44" w:lineRule="exact"/>
        <w:rPr>
          <w:sz w:val="20"/>
          <w:szCs w:val="20"/>
          <w:color w:val="auto"/>
        </w:rPr>
      </w:pPr>
    </w:p>
    <w:p>
      <w:pPr>
        <w:jc w:val="both"/>
        <w:ind w:left="1400" w:right="499" w:firstLine="340"/>
        <w:spacing w:after="0" w:line="319" w:lineRule="auto"/>
        <w:rPr>
          <w:sz w:val="20"/>
          <w:szCs w:val="20"/>
          <w:color w:val="auto"/>
        </w:rPr>
      </w:pPr>
      <w:r>
        <w:rPr>
          <w:rFonts w:ascii="Times New Roman" w:cs="Times New Roman" w:eastAsia="Times New Roman" w:hAnsi="Times New Roman"/>
          <w:sz w:val="13"/>
          <w:szCs w:val="13"/>
          <w:color w:val="auto"/>
        </w:rPr>
        <w:t>The term “Senior Indebtedness” of a person means with respect to such person the principal of, premium, if any, and interest on, and any other payment due pursuant to any of the following, whether outstanding on the date of the subordinated indenture or incurred by that person in the future:</w:t>
      </w:r>
    </w:p>
    <w:p>
      <w:pPr>
        <w:spacing w:after="0" w:line="30" w:lineRule="exact"/>
        <w:rPr>
          <w:sz w:val="20"/>
          <w:szCs w:val="20"/>
          <w:color w:val="auto"/>
        </w:rPr>
      </w:pPr>
    </w:p>
    <w:p>
      <w:pPr>
        <w:ind w:left="2140" w:right="299" w:hanging="333"/>
        <w:spacing w:after="0" w:line="264" w:lineRule="auto"/>
        <w:tabs>
          <w:tab w:leader="none" w:pos="2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indebtedness of that person for money borrowed, including any indebtedness secured by a mortgage, conditional sales contract or other lien which is (1) given to secure all or part of the purchase price of property subject thereto, whether given to the vendor of that property or to another lender, or (2) existing on property at the time that person acquires it;</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indebtedness of that person evidenced by notes, debentures, bonds or other securities sold by that person for money;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lease obligations which are capitalized on the books of that person in accordance with generally accepted accounting principles;</w:t>
      </w:r>
    </w:p>
    <w:p>
      <w:pPr>
        <w:spacing w:after="0" w:line="99" w:lineRule="exact"/>
        <w:rPr>
          <w:rFonts w:ascii="Times New Roman" w:cs="Times New Roman" w:eastAsia="Times New Roman" w:hAnsi="Times New Roman"/>
          <w:sz w:val="14"/>
          <w:szCs w:val="14"/>
          <w:color w:val="auto"/>
        </w:rPr>
      </w:pPr>
    </w:p>
    <w:p>
      <w:pPr>
        <w:ind w:left="2140" w:right="299" w:hanging="333"/>
        <w:spacing w:after="0" w:line="264" w:lineRule="auto"/>
        <w:tabs>
          <w:tab w:leader="none" w:pos="2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63" w:lineRule="exact"/>
        <w:rPr>
          <w:rFonts w:ascii="Times New Roman" w:cs="Times New Roman" w:eastAsia="Times New Roman" w:hAnsi="Times New Roman"/>
          <w:sz w:val="14"/>
          <w:szCs w:val="14"/>
          <w:color w:val="auto"/>
        </w:rPr>
      </w:pPr>
    </w:p>
    <w:p>
      <w:pPr>
        <w:ind w:left="2140" w:right="719" w:hanging="333"/>
        <w:spacing w:after="0" w:line="279" w:lineRule="auto"/>
        <w:tabs>
          <w:tab w:leader="none" w:pos="2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39"/>
        <w:spacing w:after="0" w:line="256" w:lineRule="auto"/>
        <w:rPr>
          <w:sz w:val="20"/>
          <w:szCs w:val="20"/>
          <w:color w:val="auto"/>
        </w:rPr>
      </w:pPr>
      <w:r>
        <w:rPr>
          <w:rFonts w:ascii="Times New Roman" w:cs="Times New Roman" w:eastAsia="Times New Roman" w:hAnsi="Times New Roman"/>
          <w:sz w:val="14"/>
          <w:szCs w:val="14"/>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unsubordinated guarantee obligations of ours or any subsidiary guarantor to which we and such guarantor are a party, including our, and the subsidiary guarantors’, guarantees of each others’ debt securities and other indebtedness for borrowed money, constitute Senior Indebtedness for purposes of the subordinated debt indenture.</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The senior indenture is, and any senior debt securities will be, governed by New York law. The subordinated indenture and any subordinated debt securities will be governed by New York law.</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ESCRIPTION OF</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IRST</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ORTGAGE</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ONDS</w:t>
      </w:r>
    </w:p>
    <w:p>
      <w:pPr>
        <w:spacing w:after="0" w:line="175" w:lineRule="exact"/>
        <w:rPr>
          <w:sz w:val="20"/>
          <w:szCs w:val="20"/>
          <w:color w:val="auto"/>
        </w:rPr>
      </w:pPr>
    </w:p>
    <w:p>
      <w:pPr>
        <w:ind w:left="1400" w:right="419" w:firstLine="340"/>
        <w:spacing w:after="0" w:line="253" w:lineRule="auto"/>
        <w:rPr>
          <w:sz w:val="20"/>
          <w:szCs w:val="20"/>
          <w:color w:val="auto"/>
        </w:rPr>
      </w:pPr>
      <w:r>
        <w:rPr>
          <w:rFonts w:ascii="Times New Roman" w:cs="Times New Roman" w:eastAsia="Times New Roman" w:hAnsi="Times New Roman"/>
          <w:sz w:val="14"/>
          <w:szCs w:val="14"/>
          <w:color w:val="auto"/>
        </w:rPr>
        <w:t>The first mortgage bonds will be issued under and secured by the Mortgage and Deed of Trust, dated July 1, 1939, between us and The Bank of New York Mellon Trust Company, N.A., as successor to BNY Midwest Trust Company, as successor to Harris Trust and Savings Bank, as trustee, as previously supplemented and amended by supplemental indentures. We refer to the original mortgage, as so supplemented and amended, as the mortgage. All the first mortgage bonds issued or issuable under the mortgage are referred to as the “bonds.” We have summarized below the material provisions of the mortgage and the bonds or indicated which material provisions will be described in the related prospectus supplement. These descriptions are only summaries, and you should refer to the mortgage itself, which describes completely the terms and definitions summarized below and contains additional information about the bonds.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Issuance of Additional Bonds</w:t>
      </w:r>
    </w:p>
    <w:p>
      <w:pPr>
        <w:spacing w:after="0" w:line="91" w:lineRule="exact"/>
        <w:rPr>
          <w:sz w:val="20"/>
          <w:szCs w:val="20"/>
          <w:color w:val="auto"/>
        </w:rPr>
      </w:pPr>
    </w:p>
    <w:p>
      <w:pPr>
        <w:ind w:left="1400" w:right="499" w:firstLine="340"/>
        <w:spacing w:after="0" w:line="264" w:lineRule="auto"/>
        <w:rPr>
          <w:sz w:val="20"/>
          <w:szCs w:val="20"/>
          <w:color w:val="auto"/>
        </w:rPr>
      </w:pPr>
      <w:r>
        <w:rPr>
          <w:rFonts w:ascii="Times New Roman" w:cs="Times New Roman" w:eastAsia="Times New Roman" w:hAnsi="Times New Roman"/>
          <w:sz w:val="14"/>
          <w:szCs w:val="14"/>
          <w:color w:val="auto"/>
        </w:rPr>
        <w:t>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w:t>
      </w:r>
    </w:p>
    <w:p>
      <w:pPr>
        <w:spacing w:after="0" w:line="53" w:lineRule="exact"/>
        <w:rPr>
          <w:sz w:val="20"/>
          <w:szCs w:val="20"/>
          <w:color w:val="auto"/>
        </w:rPr>
      </w:pPr>
    </w:p>
    <w:p>
      <w:pPr>
        <w:ind w:left="1400" w:right="619" w:firstLine="330"/>
        <w:spacing w:after="0" w:line="279" w:lineRule="auto"/>
        <w:tabs>
          <w:tab w:leader="none" w:pos="193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(so long as any bonds issued prior to January 1, 1997 remain outstanding, and thereafter 70%) of the net bondable value of property additions not subject to an unfunded prior lien;</w:t>
      </w:r>
    </w:p>
    <w:p>
      <w:pPr>
        <w:spacing w:after="0" w:line="126"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bonds retired or to be retired (except out of trust monies); and</w:t>
      </w:r>
    </w:p>
    <w:p>
      <w:pPr>
        <w:spacing w:after="0" w:line="172" w:lineRule="exact"/>
        <w:rPr>
          <w:rFonts w:ascii="Times New Roman" w:cs="Times New Roman" w:eastAsia="Times New Roman" w:hAnsi="Times New Roman"/>
          <w:sz w:val="14"/>
          <w:szCs w:val="14"/>
          <w:color w:val="auto"/>
        </w:rPr>
      </w:pPr>
    </w:p>
    <w:p>
      <w:pPr>
        <w:ind w:left="1400" w:right="359" w:firstLine="330"/>
        <w:spacing w:after="0" w:line="279" w:lineRule="auto"/>
        <w:tabs>
          <w:tab w:leader="none" w:pos="193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deposited with the trustee for such purpose, which may thereafter be withdrawn upon the same basis that additional bonds are issuable under clause (1) or (2) above.</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Additional bonds may not be issued on the basis of property additions subject to an unfunded prior lien.</w:t>
      </w:r>
    </w:p>
    <w:p>
      <w:pPr>
        <w:spacing w:after="0" w:line="173"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In addition to the restrictions discussed above, so long as any bonds issued prior to January 1, 1997 remain outstanding, additional bonds may not be issued unless our unconsolidated net earnings available for interest, depreciation and property retirements for a period of any 12 consecutive months during the period of 15 calendar months immediately preceding the first day of the month in which the application for authentication and delivery of additional bonds is made shall have been not less than the greater of two times (two and one-half times after all bonds issued prior to January 1, 1997 are no longer outstanding) the annual interest charges on, and 10% of the principal amount of, all bonds then outstanding, all additional bonds then applied for, all outstanding prior lien bonds and all prior lien bonds, if any, then being applied for. Bonds canceled at or prior to the time application is made for the issuance of new bonds are not deemed to be outstanding for purposes of calculating interest charges in determining whether the net earnings test is met for the issuance of additional bonds. Bonds or prior lien bonds for which monies sufficient for the payment thereof have been deposited with the trustee are not considered outstanding for this purpose.</w:t>
      </w:r>
    </w:p>
    <w:p>
      <w:pPr>
        <w:spacing w:after="0" w:line="1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net earnings test referred to in the previous paragraph need not be satisfied to issue additional bonds:</w:t>
      </w:r>
    </w:p>
    <w:p>
      <w:pPr>
        <w:spacing w:after="0" w:line="100" w:lineRule="exact"/>
        <w:rPr>
          <w:sz w:val="20"/>
          <w:szCs w:val="20"/>
          <w:color w:val="auto"/>
        </w:rPr>
      </w:pPr>
    </w:p>
    <w:p>
      <w:pPr>
        <w:ind w:left="2140" w:right="279" w:hanging="333"/>
        <w:spacing w:after="0" w:line="264" w:lineRule="auto"/>
        <w:tabs>
          <w:tab w:leader="none" w:pos="2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basis of property additions subject to an unfunded prior lien which simultaneously will become a funded prior lien, if application for the issuance of the additional bonds is made at any time after a date two years prior to the date of the maturity of the bonds secured by the prior lien; and</w:t>
      </w:r>
    </w:p>
    <w:p>
      <w:pPr>
        <w:spacing w:after="0" w:line="63" w:lineRule="exact"/>
        <w:rPr>
          <w:rFonts w:ascii="Times New Roman" w:cs="Times New Roman" w:eastAsia="Times New Roman" w:hAnsi="Times New Roman"/>
          <w:sz w:val="14"/>
          <w:szCs w:val="14"/>
          <w:color w:val="auto"/>
        </w:rPr>
      </w:pPr>
    </w:p>
    <w:p>
      <w:pPr>
        <w:ind w:left="2140" w:right="399" w:hanging="333"/>
        <w:spacing w:after="0" w:line="279" w:lineRule="auto"/>
        <w:tabs>
          <w:tab w:leader="none" w:pos="2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basis of the payment at maturity of bonds heretofore issued by us, or the redemption, conversion or purchase of bonds, after a date two years prior to the date on which those bonds mature.</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have reserved the right to amend the mortgage to eliminate the foregoing requirement. See “—Modification of the Mortgage.”</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4"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Release and Substitution of Property</w:t>
      </w:r>
    </w:p>
    <w:p>
      <w:pPr>
        <w:spacing w:after="0" w:line="91"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60% (so long as any bonds issued prior to January 1, 1997 remain outstanding, and thereafter 70%), or the deposit with the trustee of bonds we have acquired. The mortgage contains special provisions with respect to the release of all or substantially all of our gas and electric properties. We have reserved the right to amend the mortgage to change the release and substitution provisions. See “—Modification of the Mortgage.”</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Priority and Security</w:t>
      </w:r>
    </w:p>
    <w:p>
      <w:pPr>
        <w:spacing w:after="0" w:line="91" w:lineRule="exact"/>
        <w:rPr>
          <w:sz w:val="20"/>
          <w:szCs w:val="20"/>
          <w:color w:val="auto"/>
        </w:rPr>
      </w:pPr>
    </w:p>
    <w:p>
      <w:pPr>
        <w:ind w:left="1400" w:right="279" w:firstLine="340"/>
        <w:spacing w:after="0" w:line="285" w:lineRule="auto"/>
        <w:rPr>
          <w:sz w:val="20"/>
          <w:szCs w:val="20"/>
          <w:color w:val="auto"/>
        </w:rPr>
      </w:pPr>
      <w:r>
        <w:rPr>
          <w:rFonts w:ascii="Times New Roman" w:cs="Times New Roman" w:eastAsia="Times New Roman" w:hAnsi="Times New Roman"/>
          <w:sz w:val="13"/>
          <w:szCs w:val="13"/>
          <w:color w:val="auto"/>
        </w:rPr>
        <w:t>The bonds when issued will be secured, equally and ratably with all of the bonds now outstanding or hereafter issued under the mortgage, by the lien on substantially all of our fixed property and franchises purported to be conveyed by the mortgage including after-acquired property of the character intended to be mortgaged property, subject to the exceptions referred to below, to certain minor leases and easements, permitted liens, exceptions and reservations in the instruments by which we acquired title to our property and the prior lien of the trustee for compensation, expenses and liability.</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Excepted from the lien of the mortgage are:</w:t>
      </w:r>
    </w:p>
    <w:p>
      <w:pPr>
        <w:spacing w:after="0" w:line="100" w:lineRule="exact"/>
        <w:rPr>
          <w:sz w:val="20"/>
          <w:szCs w:val="20"/>
          <w:color w:val="auto"/>
        </w:rPr>
      </w:pPr>
    </w:p>
    <w:p>
      <w:pPr>
        <w:ind w:left="2140" w:hanging="333"/>
        <w:spacing w:after="0"/>
        <w:tabs>
          <w:tab w:leader="none" w:pos="2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accounts receivable;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or operating agreements;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not pledged under the mortgage;</w:t>
      </w:r>
    </w:p>
    <w:p>
      <w:pPr>
        <w:spacing w:after="0" w:line="99" w:lineRule="exact"/>
        <w:rPr>
          <w:rFonts w:ascii="Times New Roman" w:cs="Times New Roman" w:eastAsia="Times New Roman" w:hAnsi="Times New Roman"/>
          <w:sz w:val="14"/>
          <w:szCs w:val="14"/>
          <w:color w:val="auto"/>
        </w:rPr>
      </w:pPr>
    </w:p>
    <w:p>
      <w:pPr>
        <w:ind w:left="2140" w:right="439" w:hanging="333"/>
        <w:spacing w:after="0" w:line="279" w:lineRule="auto"/>
        <w:tabs>
          <w:tab w:leader="none" w:pos="2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energy, gas, water, materials and supplies held for consumption in operation or held in advance of use for fixed capital purposes; and</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merchandise, appliances and supplies held for resale or lease to customers.</w:t>
      </w:r>
    </w:p>
    <w:p>
      <w:pPr>
        <w:spacing w:after="0" w:line="173"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There is further expressly excepted any property of any other corporation, all the securities of which may be owned or later acquired by us. The lien of the mortgage does not apply to property of Evergy Kansas South so long as Evergy Kansas South remains our wholly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owned subsidiary, to the stock of Evergy Kansas South owned by us or to the stock of any of our other subsidiaries. The mortgage permits our consolidation or merger with, or the conveyance of all or substantially all of our property to, any other corporation; provided, among other things, that the successor corporation assumes the due and punctual payment of the principal and interest on the bonds of all series then outstanding under the mortgage and assumes the due and punctual performance of all the covenants and conditions of the mortgage.</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1"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We only have a shareholder’s claim on the assets of our subsidiaries. This shareholder’s claim is junior to the claims that creditors of our subsidiaries have against our subsidiaries. Holders of our bonds are our creditors and not creditors of any of our subsidiaries. As a result, all the existing and future liabilities of our subsidiaries, including any claims of their creditors, are structurally senior to the bonds with respect to the assets of our subsidiaries.</w:t>
      </w:r>
    </w:p>
    <w:p>
      <w:pPr>
        <w:spacing w:after="0" w:line="139"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The bonds are our obligations exclusively. To the extent that our ability to service our debt, including the bonds, may be dependent upon the earnings of our subsidiaries, our ability to do so will be dependent on the ability of our subsidiaries to distribute those earnings to us as dividends, loans or other payments. Our subsidiaries are separate and distinct legal entities and have no obligation, contingent or otherwise, to pay any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256" w:lineRule="auto"/>
        <w:rPr>
          <w:sz w:val="20"/>
          <w:szCs w:val="20"/>
          <w:color w:val="auto"/>
        </w:rPr>
      </w:pPr>
      <w:r>
        <w:rPr>
          <w:rFonts w:ascii="Times New Roman" w:cs="Times New Roman" w:eastAsia="Times New Roman" w:hAnsi="Times New Roman"/>
          <w:sz w:val="14"/>
          <w:szCs w:val="14"/>
          <w:color w:val="auto"/>
        </w:rPr>
        <w:t>amounts due on the bonds or to make funds available to us to do so. Our subsidiaries’ ability to pay dividends or make other payments or advances to us will depend upon their operating results and will be subject to applicable laws and contractual restrictions. The mortgages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Modification of the Mortgage</w:t>
      </w:r>
    </w:p>
    <w:p>
      <w:pPr>
        <w:spacing w:after="0" w:line="91"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The mortgage may be modified or altered, subject to our rights and obligations and the rights of holders of bonds, by the written consent of the holders of at least 60% in principal amount of all of the bonds outstanding thereunder, and, if the rights of one or more, but less than all, series of bonds then outstanding are to be affected by action taken pursuant to such consent, then also by consent of the holders of at least 60% in principal amount of each series of bonds so affected. No modification or alteration may be made which will permit the extension of the time or times of payment of the principal of, and premium, if any, or interest (including additional interest) on, any bond or a reduction in the rate of interest thereon, or otherwise affect the terms of payment of the principal of, and premium, if any, or interest (including additional interest) on, any bond or a reduction in the rate of interest thereon or reduce the percentages required for the taking of any action thereunder. Bonds owned by us or any affiliated corporation are excluded for the purpose of any vote, determination of a quorum or consent.</w:t>
      </w:r>
    </w:p>
    <w:p>
      <w:pPr>
        <w:spacing w:after="0" w:line="144"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The mortgage also provides that without the consent of any holder of any bond issued thereunder, the right of such holder to receive payment of the principal of, and premium, if any, or interest (including additional interest) on, on or after the respective due dates expressed in such bond, or to institute suit for the enforcement of any payment on or after such respective due dates shall not be impaired or affected.</w:t>
      </w:r>
    </w:p>
    <w:p>
      <w:pPr>
        <w:spacing w:after="0" w:line="136"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We have reserved the right, subject to appropriate corporate action, but without the consent or other action of holders of bonds of any series created after January 1, 1997, to make amendments to the mortgage to permit, unless an event of default shall have happened and be continuing, or shall happen as a result of making or granting an application:</w:t>
      </w:r>
    </w:p>
    <w:p>
      <w:pPr>
        <w:spacing w:after="0" w:line="53" w:lineRule="exact"/>
        <w:rPr>
          <w:sz w:val="20"/>
          <w:szCs w:val="20"/>
          <w:color w:val="auto"/>
        </w:rPr>
      </w:pPr>
    </w:p>
    <w:p>
      <w:pPr>
        <w:ind w:left="1400" w:right="399" w:firstLine="330"/>
        <w:spacing w:after="0" w:line="259" w:lineRule="auto"/>
        <w:tabs>
          <w:tab w:leader="none" w:pos="19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w:t>
      </w:r>
    </w:p>
    <w:p>
      <w:pPr>
        <w:spacing w:after="0" w:line="139" w:lineRule="exact"/>
        <w:rPr>
          <w:rFonts w:ascii="Times New Roman" w:cs="Times New Roman" w:eastAsia="Times New Roman" w:hAnsi="Times New Roman"/>
          <w:sz w:val="14"/>
          <w:szCs w:val="14"/>
          <w:color w:val="auto"/>
        </w:rPr>
      </w:pPr>
    </w:p>
    <w:p>
      <w:pPr>
        <w:ind w:left="1400" w:right="419" w:firstLine="330"/>
        <w:spacing w:after="0" w:line="259" w:lineRule="auto"/>
        <w:tabs>
          <w:tab w:leader="none" w:pos="19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w:t>
      </w:r>
    </w:p>
    <w:p>
      <w:pPr>
        <w:spacing w:after="0" w:line="139"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deletion of the net earnings test for the issuance of additional bonds or merging into another company;</w:t>
      </w:r>
    </w:p>
    <w:p>
      <w:pPr>
        <w:spacing w:after="0" w:line="172" w:lineRule="exact"/>
        <w:rPr>
          <w:rFonts w:ascii="Times New Roman" w:cs="Times New Roman" w:eastAsia="Times New Roman" w:hAnsi="Times New Roman"/>
          <w:sz w:val="14"/>
          <w:szCs w:val="14"/>
          <w:color w:val="auto"/>
        </w:rPr>
      </w:pPr>
    </w:p>
    <w:p>
      <w:pPr>
        <w:ind w:left="1400" w:right="419" w:firstLine="330"/>
        <w:spacing w:after="0" w:line="279" w:lineRule="auto"/>
        <w:tabs>
          <w:tab w:leader="none" w:pos="19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deletion of a financial test to be met by another corporation in the event of our consolidation or merger into or our sale of our property as an entirety or substantially as an entirety to such other corporation; and</w:t>
      </w:r>
    </w:p>
    <w:p>
      <w:pPr>
        <w:spacing w:after="0" w:line="126" w:lineRule="exact"/>
        <w:rPr>
          <w:rFonts w:ascii="Times New Roman" w:cs="Times New Roman" w:eastAsia="Times New Roman" w:hAnsi="Times New Roman"/>
          <w:sz w:val="14"/>
          <w:szCs w:val="14"/>
          <w:color w:val="auto"/>
        </w:rPr>
      </w:pPr>
    </w:p>
    <w:p>
      <w:pPr>
        <w:ind w:left="1400" w:right="399" w:firstLine="330"/>
        <w:spacing w:after="0" w:line="279" w:lineRule="auto"/>
        <w:tabs>
          <w:tab w:leader="none" w:pos="19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deletion of the requirement to obtain an independent engineer’s certificate in connection with certain releases of property from the lien of the mortgage.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4"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We have also reserved the right, subject to appropriate corporate action, but without the consent or other action of holders of bonds of any series created on or after June 1, 2004, to:</w:t>
      </w:r>
    </w:p>
    <w:p>
      <w:pPr>
        <w:spacing w:after="0" w:line="43" w:lineRule="exact"/>
        <w:rPr>
          <w:sz w:val="20"/>
          <w:szCs w:val="20"/>
          <w:color w:val="auto"/>
        </w:rPr>
      </w:pPr>
    </w:p>
    <w:p>
      <w:pPr>
        <w:jc w:val="both"/>
        <w:ind w:left="1400" w:right="299" w:firstLine="330"/>
        <w:spacing w:after="0" w:line="259" w:lineRule="auto"/>
        <w:tabs>
          <w:tab w:leader="none" w:pos="1937"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mortgage to allow us or any successor entity to issue substitute bonds (or similar instruments) for any outstanding bonds, provided that such substitute bonds (or similar instruments) carry ratings equal to or better than the then current ratings of the bonds which are being replaced and that certain other conditions are satisfied. The mortgage and deed of trust under which any such substitute bonds (or similar instruments) may be issued may contain terms and conditions different from the mortgage;</w:t>
      </w:r>
    </w:p>
    <w:p>
      <w:pPr>
        <w:spacing w:after="0" w:line="139" w:lineRule="exact"/>
        <w:rPr>
          <w:rFonts w:ascii="Times New Roman" w:cs="Times New Roman" w:eastAsia="Times New Roman" w:hAnsi="Times New Roman"/>
          <w:sz w:val="14"/>
          <w:szCs w:val="14"/>
          <w:color w:val="auto"/>
        </w:rPr>
      </w:pPr>
    </w:p>
    <w:p>
      <w:pPr>
        <w:ind w:left="1400" w:right="339" w:firstLine="330"/>
        <w:spacing w:after="0" w:line="279" w:lineRule="auto"/>
        <w:tabs>
          <w:tab w:leader="none" w:pos="1937"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as an event of default the failure to discharge or stay within 30 days a final judgment against us for the payment of money in excess of $100,000;</w:t>
      </w:r>
    </w:p>
    <w:p>
      <w:pPr>
        <w:spacing w:after="0" w:line="126"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net earnings test in connection with certain acquisitions of property;</w:t>
      </w:r>
    </w:p>
    <w:p>
      <w:pPr>
        <w:spacing w:after="0" w:line="17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nuclear fuel to the definition of property additions; and</w:t>
      </w:r>
    </w:p>
    <w:p>
      <w:pPr>
        <w:spacing w:after="0" w:line="172" w:lineRule="exact"/>
        <w:rPr>
          <w:rFonts w:ascii="Times New Roman" w:cs="Times New Roman" w:eastAsia="Times New Roman" w:hAnsi="Times New Roman"/>
          <w:sz w:val="14"/>
          <w:szCs w:val="14"/>
          <w:color w:val="auto"/>
        </w:rPr>
      </w:pPr>
    </w:p>
    <w:p>
      <w:pPr>
        <w:ind w:left="1400" w:right="279" w:firstLine="330"/>
        <w:spacing w:after="0" w:line="272" w:lineRule="auto"/>
        <w:tabs>
          <w:tab w:leader="none" w:pos="1937"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certain amendments to modernize and clarify the terms of the mortgage. These amendments will not adversely affect the rights of holders of bonds and may include the following provisions, among others: (i) simplification of the trustee provisions; (ii) the addition of a governing law clause; (iii) the addition of defeasance provisions for future issuances of bonds; (iv) elimination of maintenance and improvement fund requirements for future issuances of bonds (which requirements will instead be added to specific series of bonds); (v) simplification of the release provisions for obsolete property, de minimis property releases and substitution of property and unfunded property; (vi) the ability to issue global or uncertificated securities;</w:t>
      </w:r>
    </w:p>
    <w:p>
      <w:pPr>
        <w:spacing w:after="0" w:line="2" w:lineRule="exact"/>
        <w:rPr>
          <w:rFonts w:ascii="Times New Roman" w:cs="Times New Roman" w:eastAsia="Times New Roman" w:hAnsi="Times New Roman"/>
          <w:sz w:val="13"/>
          <w:szCs w:val="13"/>
          <w:color w:val="auto"/>
        </w:rPr>
      </w:pPr>
    </w:p>
    <w:p>
      <w:pPr>
        <w:ind w:left="1400" w:right="759" w:hanging="10"/>
        <w:spacing w:after="0" w:line="257" w:lineRule="auto"/>
        <w:tabs>
          <w:tab w:leader="none" w:pos="167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clarification of our ability to issue variable rate bonds under the mortgage and (viii) amendment of the definitions of excepted property and permitted liens.</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An event of default under the mortgage includes:</w:t>
      </w:r>
    </w:p>
    <w:p>
      <w:pPr>
        <w:spacing w:after="0" w:line="100" w:lineRule="exact"/>
        <w:rPr>
          <w:sz w:val="20"/>
          <w:szCs w:val="20"/>
          <w:color w:val="auto"/>
        </w:rPr>
      </w:pPr>
    </w:p>
    <w:p>
      <w:pPr>
        <w:ind w:left="2140" w:hanging="333"/>
        <w:spacing w:after="0"/>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any bond when the same shall become due and payable, whether at maturity or otherwise;</w:t>
      </w:r>
    </w:p>
    <w:p>
      <w:pPr>
        <w:spacing w:after="0" w:line="99" w:lineRule="exact"/>
        <w:rPr>
          <w:rFonts w:ascii="Times New Roman" w:cs="Times New Roman" w:eastAsia="Times New Roman" w:hAnsi="Times New Roman"/>
          <w:sz w:val="14"/>
          <w:szCs w:val="14"/>
          <w:color w:val="auto"/>
        </w:rPr>
      </w:pPr>
    </w:p>
    <w:p>
      <w:pPr>
        <w:ind w:left="2140" w:right="479" w:hanging="333"/>
        <w:spacing w:after="0" w:line="279" w:lineRule="auto"/>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continuing for 30 days in the payment of any installment of interest on any bond or in the payment or satisfaction of any sinking fund obligation;</w:t>
      </w:r>
    </w:p>
    <w:p>
      <w:pPr>
        <w:spacing w:after="0" w:line="53" w:lineRule="exact"/>
        <w:rPr>
          <w:rFonts w:ascii="Times New Roman" w:cs="Times New Roman" w:eastAsia="Times New Roman" w:hAnsi="Times New Roman"/>
          <w:sz w:val="14"/>
          <w:szCs w:val="14"/>
          <w:color w:val="auto"/>
        </w:rPr>
      </w:pPr>
    </w:p>
    <w:p>
      <w:pPr>
        <w:ind w:left="2140" w:right="439" w:hanging="333"/>
        <w:spacing w:after="0" w:line="264" w:lineRule="auto"/>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discharge or stay within 30 days a final judgment against us for the payment of money in excess of $100,000;</w:t>
      </w:r>
    </w:p>
    <w:p>
      <w:pPr>
        <w:spacing w:after="0" w:line="99" w:lineRule="exact"/>
        <w:rPr>
          <w:rFonts w:ascii="Times New Roman" w:cs="Times New Roman" w:eastAsia="Times New Roman" w:hAnsi="Times New Roman"/>
          <w:sz w:val="14"/>
          <w:szCs w:val="14"/>
          <w:color w:val="auto"/>
        </w:rPr>
      </w:pPr>
    </w:p>
    <w:p>
      <w:pPr>
        <w:ind w:left="2140" w:right="419" w:hanging="333"/>
        <w:spacing w:after="0" w:line="264" w:lineRule="auto"/>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any prior lien bond when the same shall become due and payable, whether at maturity or otherwise, or default in the payment of any installment on interest on any prior lien bond beyond the applicable grace period specified in such prior lien bond; and</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in bankruptcy, insolvency or reorganization.</w:t>
      </w:r>
    </w:p>
    <w:p>
      <w:pPr>
        <w:spacing w:after="0" w:line="173"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We have reserved the right to amend the mortgage to eliminate the fourth event of default described above with respect to future series of bonds. 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259"/>
        <w:spacing w:after="0" w:line="253" w:lineRule="auto"/>
        <w:rPr>
          <w:sz w:val="20"/>
          <w:szCs w:val="20"/>
          <w:color w:val="auto"/>
        </w:rPr>
      </w:pPr>
      <w:r>
        <w:rPr>
          <w:rFonts w:ascii="Times New Roman" w:cs="Times New Roman" w:eastAsia="Times New Roman" w:hAnsi="Times New Roman"/>
          <w:sz w:val="14"/>
          <w:szCs w:val="14"/>
          <w:color w:val="auto"/>
        </w:rPr>
        <w:t>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w:t>
      </w:r>
    </w:p>
    <w:p>
      <w:pPr>
        <w:spacing w:after="0" w:line="147"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of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4"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OOK</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NTRY</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YSTEM</w:t>
      </w:r>
    </w:p>
    <w:p>
      <w:pPr>
        <w:spacing w:after="0" w:line="175"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each series of first mortgage bonds and debt securities will initially be issued in the form of one or more global securities, in registered form, without coupons. The global securities will be deposited with, or on behalf of, the depository, and registered in the name of the depository or a nominee of the depository. Unless otherwise indicated in the applicable prospectus supplement, the depository for any global securities will be The Depository Trust Company, or DTC.</w:t>
      </w:r>
    </w:p>
    <w:p>
      <w:pPr>
        <w:spacing w:after="0" w:line="139"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So long as the depository, or its nominee, is the registered owner of a global security, such depository or such nominee, as the case may be, will be considered the owner of such global security for all purposes under the applicable indenture, including for any notices and voting. Except in limited circumstances, the owners of beneficial interests in a global security will not be entitled to have securities registered in their names, will not receive or be entitled to receive physical delivery of any such securities and will not be considered the registered holder thereof under the applicable indenture. Accordingly, each person holding a beneficial interest in a global security must rely on the procedures of the depository and, if such person is not a direct participant, on procedures of the direct participant through which such person holds its interest, to exercise any of the rights of a registered owner of such security.</w:t>
      </w:r>
    </w:p>
    <w:p>
      <w:pPr>
        <w:spacing w:after="0" w:line="147" w:lineRule="exact"/>
        <w:rPr>
          <w:sz w:val="20"/>
          <w:szCs w:val="20"/>
          <w:color w:val="auto"/>
        </w:rPr>
      </w:pPr>
    </w:p>
    <w:p>
      <w:pPr>
        <w:ind w:left="1400" w:right="519" w:firstLine="340"/>
        <w:spacing w:after="0" w:line="256" w:lineRule="auto"/>
        <w:rPr>
          <w:sz w:val="20"/>
          <w:szCs w:val="20"/>
          <w:color w:val="auto"/>
        </w:rPr>
      </w:pPr>
      <w:r>
        <w:rPr>
          <w:rFonts w:ascii="Times New Roman" w:cs="Times New Roman" w:eastAsia="Times New Roman" w:hAnsi="Times New Roman"/>
          <w:sz w:val="14"/>
          <w:szCs w:val="14"/>
          <w:color w:val="auto"/>
        </w:rPr>
        <w:t>Except as otherwise provided in any applicable prospectus supplement, global securities may be exchanged in whole for certificated securities only if the depository notifies us that it is unwilling or unable to continue as depository for the global securities or the depository has ceased to be a clearing agency registered under the Exchange Act and, in either case, we thereupon fail to appoint a successor depository within 90 days. We may decide to discontinue use of the system of book-entry-only transfers through DTC (or a successor securities depository), subject to DTC’s or such successor’s procedures, as the case may be.</w:t>
      </w:r>
    </w:p>
    <w:p>
      <w:pPr>
        <w:spacing w:after="0" w:line="142"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In any such case, we have agreed to notify the applicable trustee or other relevant agent of ours in writing that, upon surrender by the direct participants and indirect participants of their interest in such global securities, certificated securities representing the applicable securities will be issued to each person that such direct participants and indirect participants and the depository identify as being the beneficial owner of such securities.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following is based solely on information furnished by DTC:</w:t>
      </w:r>
    </w:p>
    <w:p>
      <w:pPr>
        <w:spacing w:after="0" w:line="89"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DTC will act as depository for the global securities. The global securities will be issued as fully-registered securities registered in the name of Cede &amp; Co. (DTC’s partnership nominee) or such other name as may be requested by an authorized representative of DTC. One fully-registered global security certificate will be issued for each issue of the global securities, each in the aggregate principal amount of such issue, and will be deposited with DTC. If, however, the aggregate principal amount of any issue of a series of debt securities exceeds $500 million, one certificate will be issued with respect to each $500 million of principal amount, and an additional certificate will be issued with respect to any remaining principal amount of such series.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w:t>
      </w:r>
    </w:p>
    <w:p>
      <w:pPr>
        <w:spacing w:after="0" w:line="150" w:lineRule="exact"/>
        <w:rPr>
          <w:sz w:val="20"/>
          <w:szCs w:val="20"/>
          <w:color w:val="auto"/>
        </w:rPr>
      </w:pPr>
    </w:p>
    <w:p>
      <w:pPr>
        <w:jc w:val="both"/>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56" w:lineRule="auto"/>
        <w:rPr>
          <w:sz w:val="20"/>
          <w:szCs w:val="20"/>
          <w:color w:val="auto"/>
        </w:rPr>
      </w:pPr>
      <w:r>
        <w:rPr>
          <w:rFonts w:ascii="Times New Roman" w:cs="Times New Roman" w:eastAsia="Times New Roman" w:hAnsi="Times New Roman"/>
          <w:sz w:val="14"/>
          <w:szCs w:val="14"/>
          <w:color w:val="auto"/>
        </w:rPr>
        <w:t>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which are referred to as indirect participants and, together with the direct participants, the participants. The DTC rules applicable its participants are on file with the SEC. More information about DTC can be found at www.dtcc.com. The contents of such website do not constitute part of this prospectus.</w:t>
      </w:r>
    </w:p>
    <w:p>
      <w:pPr>
        <w:spacing w:after="0" w:line="142"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Purchases of global securities under the DTC system must be made by or through direct participants, who will receive a credit for the global securities on DTC’s records. The ownership interest of each actual purchaser of each global security, or beneficial owner, is in turn to be recorded on the direct and indirect participants’ records. Beneficial owners will not receive written confirmation from DTC of their purchase. Beneficial owners, however,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securities are to be accomplished by entries made on the books of direct and indirect participants acting on behalf of beneficial owners. Beneficial owners will not receive certificates representing their ownership interests in the global securities, except in the event that use of the book-entry system for the global securities is discontinued.</w:t>
      </w:r>
    </w:p>
    <w:p>
      <w:pPr>
        <w:spacing w:after="0" w:line="144" w:lineRule="exact"/>
        <w:rPr>
          <w:sz w:val="20"/>
          <w:szCs w:val="20"/>
          <w:color w:val="auto"/>
        </w:rPr>
      </w:pPr>
    </w:p>
    <w:p>
      <w:pPr>
        <w:ind w:left="1400" w:right="359" w:firstLine="340"/>
        <w:spacing w:after="0" w:line="254"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are registered in the name of DTC’s partnership nominee, Cede &amp; Co., or such other name as may be requested by an authorized representative of DTC. The deposit of global securities with DTC and their registration in the name of Cede &amp; Co. or such other DTC nominee do not effect any change in beneficial ownership. DTC has no knowledge of the actual beneficial owners of the global securities; DTC’s records reflect only the identity of the direct participants to whose accounts such global securities are credited, which may or may not be the beneficial owners. The direct and indirect participants will remain responsible for keeping account of their holdings on behalf of their customers.</w:t>
      </w:r>
    </w:p>
    <w:p>
      <w:pPr>
        <w:spacing w:after="0" w:line="145"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global securities may wish to take certain steps to augment the transmission to them of notices of significant events with respect to the global securities, such as redemptions, tenders, defaults, and proposed amendments to the security documents. For example, beneficial owners of global securities may wish to ascertain that the nominee holding the global securities for their benefit has agreed to obtain and transmit notices to beneficial owners. In the alternative, beneficial owners may wish to provide their names and addresses to the registrar and request that copies of the notices be provided directly to them.</w:t>
      </w:r>
    </w:p>
    <w:p>
      <w:pPr>
        <w:spacing w:after="0" w:line="147"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If the global securities are redeemable, redemption notices shall be sent to DTC. If less than all of the global securities are being redeemed, DTC’s practice is to determine by lot the amount of the interest of each direct participant in such issue to be redeemed.</w:t>
      </w:r>
    </w:p>
    <w:p>
      <w:pPr>
        <w:spacing w:after="0" w:line="126" w:lineRule="exact"/>
        <w:rPr>
          <w:sz w:val="20"/>
          <w:szCs w:val="20"/>
          <w:color w:val="auto"/>
        </w:rPr>
      </w:pPr>
    </w:p>
    <w:p>
      <w:pPr>
        <w:ind w:left="1400" w:right="339" w:firstLine="340"/>
        <w:spacing w:after="0" w:line="259" w:lineRule="auto"/>
        <w:rPr>
          <w:sz w:val="20"/>
          <w:szCs w:val="20"/>
          <w:color w:val="auto"/>
        </w:rPr>
      </w:pPr>
      <w:r>
        <w:rPr>
          <w:rFonts w:ascii="Times New Roman" w:cs="Times New Roman" w:eastAsia="Times New Roman" w:hAnsi="Times New Roman"/>
          <w:sz w:val="14"/>
          <w:szCs w:val="14"/>
          <w:color w:val="auto"/>
        </w:rPr>
        <w:t>Neither DTC nor Cede &amp; Co. (nor any other DTC nominee) will consent or vote with respect to the global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global securities are credited on the record date, identified in a listing attached to the omnibus proxy.</w:t>
      </w:r>
    </w:p>
    <w:p>
      <w:pPr>
        <w:spacing w:after="0" w:line="139" w:lineRule="exact"/>
        <w:rPr>
          <w:sz w:val="20"/>
          <w:szCs w:val="20"/>
          <w:color w:val="auto"/>
        </w:rPr>
      </w:pPr>
    </w:p>
    <w:p>
      <w:pPr>
        <w:jc w:val="both"/>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Principal, interest and premium payments, if any, on debt securities or first mortgage bonds, in each case, represented by global securities, will be made to Cede &amp; Co., or such other nominee as may be requested by an authorized representative of DTC. DTC’s practice is to credit direct participants’ accounts upon DTC’s receipt of funds and corresponding detail information from us or the trustee for such securities, on the payable date in accordance with their respective holdings shown on DTC’s records. Payments by participants to beneficial</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owners will be governed by standing instructions and customary practices, as is the case with securities held for the accounts of customers in bearer form or registered in “street name,” and will be the responsibility of such participant and not of DTC, the trustee for such securities, or us, subject to any statutory or regulatory requirements as may be in effect from time to time. Payment of principal, premium, if any, and interest on debt securities or first mortgage bonds, in each case, represented by global securities, to Cede &amp; Co. (or such other nominee as may be requested by an authorized representative of DTC) is the responsibility of the appropriate trustee, or other relevant agent of ours and us. Disbursement of such payments to direct participants shall be the responsibility of DTC, and disbursement of such payments to the beneficial owners shall be the responsibility of the participants.</w:t>
      </w:r>
    </w:p>
    <w:p>
      <w:pPr>
        <w:spacing w:after="0" w:line="147" w:lineRule="exact"/>
        <w:rPr>
          <w:sz w:val="20"/>
          <w:szCs w:val="20"/>
          <w:color w:val="auto"/>
        </w:rPr>
      </w:pPr>
    </w:p>
    <w:p>
      <w:pPr>
        <w:ind w:left="1400" w:right="339" w:firstLine="340"/>
        <w:spacing w:after="0" w:line="259" w:lineRule="auto"/>
        <w:rPr>
          <w:sz w:val="20"/>
          <w:szCs w:val="20"/>
          <w:color w:val="auto"/>
        </w:rPr>
      </w:pPr>
      <w:r>
        <w:rPr>
          <w:rFonts w:ascii="Times New Roman" w:cs="Times New Roman" w:eastAsia="Times New Roman" w:hAnsi="Times New Roman"/>
          <w:sz w:val="14"/>
          <w:szCs w:val="14"/>
          <w:color w:val="auto"/>
        </w:rPr>
        <w:t>DTC may discontinue providing its services as depository with respect to the global securities at any time by giving reasonable notice to us or the applicable trustee or other relevant agent of ours. Under such circumstances, in the event that a successor depository is not obtained, securities certificates will be required to be printed and delivered to the holders of record. Additionally, we may decide to discontinue use of the system of book-entry transfers through DTC (or a successor securities depository) with respect to the global securities.</w:t>
      </w:r>
    </w:p>
    <w:p>
      <w:pPr>
        <w:spacing w:after="0" w:line="139"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The information in this section concerning DTC and DTC’s book-entry system has been obtained from sources, including DTC, that we believe to be reliable, but we take no responsibility for the accuracy thereof.</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underwriters, dealers or agents of any of the securities may be direct participants of DTC.</w:t>
      </w:r>
    </w:p>
    <w:p>
      <w:pPr>
        <w:spacing w:after="0" w:line="254" w:lineRule="exact"/>
        <w:rPr>
          <w:sz w:val="20"/>
          <w:szCs w:val="20"/>
          <w:color w:val="auto"/>
        </w:rPr>
      </w:pPr>
    </w:p>
    <w:p>
      <w:pPr>
        <w:jc w:val="both"/>
        <w:ind w:left="1400" w:right="399" w:firstLine="340"/>
        <w:spacing w:after="0" w:line="265" w:lineRule="auto"/>
        <w:rPr>
          <w:sz w:val="20"/>
          <w:szCs w:val="20"/>
          <w:color w:val="auto"/>
        </w:rPr>
      </w:pPr>
      <w:r>
        <w:rPr>
          <w:rFonts w:ascii="Times New Roman" w:cs="Times New Roman" w:eastAsia="Times New Roman" w:hAnsi="Times New Roman"/>
          <w:sz w:val="14"/>
          <w:szCs w:val="14"/>
          <w:b w:val="1"/>
          <w:bCs w:val="1"/>
          <w:color w:val="auto"/>
        </w:rPr>
        <w:t>None of the trustees, us or other relevant agent of ours for payment on or registration of transfer or exchange of any global security will have any responsibility or liability for any aspect of the records relating to or payments made on account of beneficial interests in such global security or for maintaining, supervising or reviewing any records relating to such beneficial interests.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4"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LAN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ISTRIBUTION</w:t>
      </w:r>
    </w:p>
    <w:p>
      <w:pPr>
        <w:spacing w:after="0" w:line="175" w:lineRule="exact"/>
        <w:rPr>
          <w:sz w:val="20"/>
          <w:szCs w:val="20"/>
          <w:color w:val="auto"/>
        </w:rPr>
      </w:pPr>
    </w:p>
    <w:p>
      <w:pPr>
        <w:ind w:left="1400" w:right="419" w:firstLine="340"/>
        <w:spacing w:after="0" w:line="254" w:lineRule="auto"/>
        <w:rPr>
          <w:sz w:val="20"/>
          <w:szCs w:val="20"/>
          <w:color w:val="auto"/>
        </w:rPr>
      </w:pPr>
      <w:r>
        <w:rPr>
          <w:rFonts w:ascii="Times New Roman" w:cs="Times New Roman" w:eastAsia="Times New Roman" w:hAnsi="Times New Roman"/>
          <w:sz w:val="14"/>
          <w:szCs w:val="14"/>
          <w:color w:val="auto"/>
        </w:rPr>
        <w:t>We may sell the securities in one or more of the following ways from time to time: (i) to underwriters for resale to the public or to institutional investors; (ii) directly to institutional investors; or (iii) through dealers or agents to the public or to institutional investors. The prospectus supplement with respect to each series of securities will set forth the specific terms of the offering of such securities, including the name or names of any underwriters, dealers or agents, the purchase price of such securities, and the proceeds to us from such sale, any underwriting discounts or agency fees and other items constituting underwriters’, dealers’ or agents’ compensation, any initial public offering price, any discounts or concessions allowed or reallowed or paid to dealers and any securities exchange on which such securities may be listed.</w:t>
      </w:r>
    </w:p>
    <w:p>
      <w:pPr>
        <w:spacing w:after="0" w:line="145"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If underwriters participate in the sale, such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of those firms. The specific managing underwriter or underwriters, if any, will be named in the prospectus supplement relating to the particular securities together with the members of the underwriting syndicate, if any.</w:t>
      </w:r>
    </w:p>
    <w:p>
      <w:pPr>
        <w:spacing w:after="0" w:line="142" w:lineRule="exact"/>
        <w:rPr>
          <w:sz w:val="20"/>
          <w:szCs w:val="20"/>
          <w:color w:val="auto"/>
        </w:rPr>
      </w:pPr>
    </w:p>
    <w:p>
      <w:pPr>
        <w:ind w:left="1400" w:right="359" w:firstLine="340"/>
        <w:spacing w:after="0" w:line="279" w:lineRule="auto"/>
        <w:rPr>
          <w:sz w:val="20"/>
          <w:szCs w:val="20"/>
          <w:color w:val="auto"/>
        </w:rPr>
      </w:pPr>
      <w:r>
        <w:rPr>
          <w:rFonts w:ascii="Times New Roman" w:cs="Times New Roman" w:eastAsia="Times New Roman" w:hAnsi="Times New Roman"/>
          <w:sz w:val="14"/>
          <w:szCs w:val="14"/>
          <w:color w:val="auto"/>
        </w:rPr>
        <w:t>Unless otherwise set forth in the applicable prospectus supplement, the obligations of the underwriters to purchase any series of securities will be subject to certain conditions precedent and the underwriters will be obligated to purchase all of such securities being offered, if any are purchased.</w:t>
      </w:r>
    </w:p>
    <w:p>
      <w:pPr>
        <w:spacing w:after="0" w:line="126" w:lineRule="exact"/>
        <w:rPr>
          <w:sz w:val="20"/>
          <w:szCs w:val="20"/>
          <w:color w:val="auto"/>
        </w:rPr>
      </w:pPr>
    </w:p>
    <w:p>
      <w:pPr>
        <w:ind w:left="1400" w:right="259" w:firstLine="340"/>
        <w:spacing w:after="0" w:line="259" w:lineRule="auto"/>
        <w:rPr>
          <w:sz w:val="20"/>
          <w:szCs w:val="20"/>
          <w:color w:val="auto"/>
        </w:rPr>
      </w:pPr>
      <w:r>
        <w:rPr>
          <w:rFonts w:ascii="Times New Roman" w:cs="Times New Roman" w:eastAsia="Times New Roman" w:hAnsi="Times New Roman"/>
          <w:sz w:val="14"/>
          <w:szCs w:val="14"/>
          <w:color w:val="auto"/>
        </w:rPr>
        <w:t>We may sell the securities directly or through agents we designate from time to time. The applicable prospectus supplement will set forth the name of any agent involved in the offer or sale of the securities in respect of which such prospectus supplement is delivered and any commissions payable by us to such agent. Unless otherwise indicated in the applicable prospectus supplement, any agent will be acting on a best efforts basis for the period of its appointment.</w:t>
      </w:r>
    </w:p>
    <w:p>
      <w:pPr>
        <w:spacing w:after="0" w:line="139" w:lineRule="exact"/>
        <w:rPr>
          <w:sz w:val="20"/>
          <w:szCs w:val="20"/>
          <w:color w:val="auto"/>
        </w:rPr>
      </w:pPr>
    </w:p>
    <w:p>
      <w:pPr>
        <w:ind w:left="1400" w:right="559" w:firstLine="340"/>
        <w:spacing w:after="0" w:line="264" w:lineRule="auto"/>
        <w:rPr>
          <w:sz w:val="20"/>
          <w:szCs w:val="20"/>
          <w:color w:val="auto"/>
        </w:rPr>
      </w:pPr>
      <w:r>
        <w:rPr>
          <w:rFonts w:ascii="Times New Roman" w:cs="Times New Roman" w:eastAsia="Times New Roman" w:hAnsi="Times New Roman"/>
          <w:sz w:val="14"/>
          <w:szCs w:val="14"/>
          <w:color w:val="auto"/>
        </w:rPr>
        <w:t>Underwriters and agents may be entitled under agreements entered into with us to indemnification against certain civil liabilities, including liabilities under the Securities Act of 1933, as amended. Underwriters and agents may engage in transactions with, or perform services for, us in the ordinary course of business.</w:t>
      </w:r>
    </w:p>
    <w:p>
      <w:pPr>
        <w:spacing w:after="0" w:line="136" w:lineRule="exact"/>
        <w:rPr>
          <w:sz w:val="20"/>
          <w:szCs w:val="20"/>
          <w:color w:val="auto"/>
        </w:rPr>
      </w:pPr>
    </w:p>
    <w:p>
      <w:pPr>
        <w:jc w:val="both"/>
        <w:ind w:left="1400" w:right="499" w:firstLine="340"/>
        <w:spacing w:after="0" w:line="264" w:lineRule="auto"/>
        <w:rPr>
          <w:sz w:val="20"/>
          <w:szCs w:val="20"/>
          <w:color w:val="auto"/>
        </w:rPr>
      </w:pPr>
      <w:r>
        <w:rPr>
          <w:rFonts w:ascii="Times New Roman" w:cs="Times New Roman" w:eastAsia="Times New Roman" w:hAnsi="Times New Roman"/>
          <w:sz w:val="14"/>
          <w:szCs w:val="14"/>
          <w:color w:val="auto"/>
        </w:rPr>
        <w:t>Each series of securities will be a new issue of securities and will have no established trading market. Any underwriters to whom securities are sold for public offering and sale may make a market in such securities, but such underwriters will not be obligated to do so and may discontinue any market making at any time without notice. The securities may or may not be listed on a national securities exchange.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4"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EGAL</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ATTERS</w:t>
      </w:r>
    </w:p>
    <w:p>
      <w:pPr>
        <w:spacing w:after="0" w:line="175"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Legal matters with respect to the securities offered under this prospectus will be passed upon for us by Christie Dasek-Kaine, Senior Director, Counsel and Assistant Corporate Secretary and Hunton Andrews Kurth LLP, New York, New York. Bracewell LLP will pass on certain matters for the underwriters, dealers, purchasers, or agents. From time to time, Bracewell LLP acts as counsel for us and our affiliates for various matters. As of the date of this prospectus, Ms. Dasek-Kaine owned beneficially a number of shares of common stock of Evergy, Inc., including restricted stock, and performance shares which may be paid in shares of common stock at a later date based on Evergy, Inc.’s performance, which represented less than 0.1% of the total outstanding common stock of Evergy, Inc.</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XPERTS</w:t>
      </w:r>
    </w:p>
    <w:p>
      <w:pPr>
        <w:spacing w:after="0" w:line="175" w:lineRule="exact"/>
        <w:rPr>
          <w:sz w:val="20"/>
          <w:szCs w:val="20"/>
          <w:color w:val="auto"/>
        </w:rPr>
      </w:pPr>
    </w:p>
    <w:p>
      <w:pPr>
        <w:ind w:left="1400" w:right="419" w:firstLine="340"/>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of Evergy Kansas Central, Inc. and subsidiaries incorporated by reference in this prospectus, have been audited by Deloitte &amp; Touche LLP, an independent registered public accounting firm, as stated in their report, which is also incorporated by reference herein. Such consolidated financial statements are incorporated by reference in reliance upon the report of such firm given their authority as experts in accounting and auditing.</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3"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w:t>
      </w:r>
      <w:r>
        <w:rPr>
          <w:rFonts w:ascii="Times New Roman" w:cs="Times New Roman" w:eastAsia="Times New Roman" w:hAnsi="Times New Roman"/>
          <w:sz w:val="14"/>
          <w:szCs w:val="14"/>
          <w:b w:val="1"/>
          <w:bCs w:val="1"/>
          <w:color w:val="auto"/>
        </w:rPr>
        <w:t xml:space="preserve"> Y</w:t>
      </w:r>
      <w:r>
        <w:rPr>
          <w:rFonts w:ascii="Times New Roman" w:cs="Times New Roman" w:eastAsia="Times New Roman" w:hAnsi="Times New Roman"/>
          <w:sz w:val="11"/>
          <w:szCs w:val="11"/>
          <w:b w:val="1"/>
          <w:bCs w:val="1"/>
          <w:color w:val="auto"/>
        </w:rPr>
        <w:t>OU</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AN</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IND</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ORE</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NFORMATION</w:t>
      </w:r>
    </w:p>
    <w:p>
      <w:pPr>
        <w:spacing w:after="0" w:line="175"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through the SEC’s Electronic Data Gathering, Analysis and Retrieval system and these filings are publically available through the SEC’s website (http://www.sec.gov).</w:t>
      </w:r>
    </w:p>
    <w:p>
      <w:pPr>
        <w:spacing w:after="0" w:line="126" w:lineRule="exact"/>
        <w:rPr>
          <w:sz w:val="20"/>
          <w:szCs w:val="20"/>
          <w:color w:val="auto"/>
        </w:rPr>
      </w:pPr>
    </w:p>
    <w:p>
      <w:pPr>
        <w:ind w:left="1400" w:right="379" w:firstLine="340"/>
        <w:spacing w:after="0" w:line="259"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them. We hereby incorporate by reference into this registration statement the following documents (except for the portions of Current Reports on Form 8-K furnished pursuant to Item 2.02 or Item 7.01 thereof, and any associated exhibits furnished pursuant to Item 9.01 thereof, or otherwise not filed with the SEC, which are deemed not to be incorporated by reference into this registration statement):</w:t>
      </w:r>
    </w:p>
    <w:p>
      <w:pPr>
        <w:spacing w:after="0" w:line="66" w:lineRule="exact"/>
        <w:rPr>
          <w:sz w:val="20"/>
          <w:szCs w:val="20"/>
          <w:color w:val="auto"/>
        </w:rPr>
      </w:pPr>
    </w:p>
    <w:p>
      <w:pPr>
        <w:ind w:left="2140" w:hanging="333"/>
        <w:spacing w:after="0"/>
        <w:tabs>
          <w:tab w:leader="none" w:pos="2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6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2023, as filed with the SEC on February 29, 2024;</w:t>
      </w:r>
    </w:p>
    <w:p>
      <w:pPr>
        <w:spacing w:after="0" w:line="99"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38"/>
        </w:numPr>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auto"/>
          </w:rPr>
          <w:t xml:space="preserve">Our Quarterly Reports on Form 10-Q for the quarterly periods ended March 31, 2024 and June 30, 2024, as filed with the SEC on </w:t>
        </w:r>
        <w:r>
          <w:rPr>
            <w:rFonts w:ascii="Times New Roman" w:cs="Times New Roman" w:eastAsia="Times New Roman" w:hAnsi="Times New Roman"/>
            <w:sz w:val="14"/>
            <w:szCs w:val="14"/>
            <w:u w:val="single" w:color="auto"/>
            <w:color w:val="0000EE"/>
          </w:rPr>
          <w:t>May 9,</w:t>
        </w:r>
      </w:hyperlink>
      <w:r>
        <w:rPr>
          <w:rFonts w:ascii="Times New Roman" w:cs="Times New Roman" w:eastAsia="Times New Roman" w:hAnsi="Times New Roman"/>
          <w:sz w:val="14"/>
          <w:szCs w:val="14"/>
          <w:color w:val="auto"/>
        </w:rPr>
        <w:t xml:space="preserve"> </w:t>
      </w:r>
      <w:hyperlink r:id="rId68">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69">
        <w:r>
          <w:rPr>
            <w:rFonts w:ascii="Times New Roman" w:cs="Times New Roman" w:eastAsia="Times New Roman" w:hAnsi="Times New Roman"/>
            <w:sz w:val="14"/>
            <w:szCs w:val="14"/>
            <w:u w:val="single" w:color="auto"/>
            <w:color w:val="0000EE"/>
          </w:rPr>
          <w:t>August 9, 2024</w:t>
        </w:r>
      </w:hyperlink>
      <w:hyperlink r:id="rId68">
        <w:r>
          <w:rPr>
            <w:rFonts w:ascii="Times New Roman" w:cs="Times New Roman" w:eastAsia="Times New Roman" w:hAnsi="Times New Roman"/>
            <w:sz w:val="14"/>
            <w:szCs w:val="14"/>
            <w:color w:val="000000"/>
          </w:rPr>
          <w:t>, respectively; and</w:t>
        </w:r>
      </w:hyperlink>
    </w:p>
    <w:p>
      <w:pPr>
        <w:spacing w:after="0" w:line="53" w:lineRule="exact"/>
        <w:rPr>
          <w:rFonts w:ascii="Times New Roman" w:cs="Times New Roman" w:eastAsia="Times New Roman" w:hAnsi="Times New Roman"/>
          <w:sz w:val="14"/>
          <w:szCs w:val="14"/>
          <w:color w:val="0000EE"/>
        </w:rPr>
      </w:pPr>
    </w:p>
    <w:p>
      <w:pPr>
        <w:ind w:left="2140" w:hanging="333"/>
        <w:spacing w:after="0"/>
        <w:tabs>
          <w:tab w:leader="none" w:pos="2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Form 8-K, as filed with the SEC on </w:t>
      </w:r>
      <w:hyperlink r:id="rId90">
        <w:r>
          <w:rPr>
            <w:rFonts w:ascii="Times New Roman" w:cs="Times New Roman" w:eastAsia="Times New Roman" w:hAnsi="Times New Roman"/>
            <w:sz w:val="14"/>
            <w:szCs w:val="14"/>
            <w:u w:val="single" w:color="auto"/>
            <w:color w:val="0000EE"/>
          </w:rPr>
          <w:t>June 10, 2024</w:t>
        </w:r>
      </w:hyperlink>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0000EE"/>
        </w:rPr>
      </w:pPr>
    </w:p>
    <w:p>
      <w:pPr>
        <w:ind w:left="1400" w:right="499" w:firstLine="340"/>
        <w:spacing w:after="0" w:line="256" w:lineRule="auto"/>
        <w:rPr>
          <w:sz w:val="20"/>
          <w:szCs w:val="20"/>
          <w:color w:val="auto"/>
        </w:rPr>
      </w:pPr>
      <w:r>
        <w:rPr>
          <w:rFonts w:ascii="Times New Roman" w:cs="Times New Roman" w:eastAsia="Times New Roman" w:hAnsi="Times New Roman"/>
          <w:sz w:val="14"/>
          <w:szCs w:val="14"/>
          <w:color w:val="auto"/>
        </w:rPr>
        <w:t>All documents Evergy Kansas Central files pursuant to Sections 13(a), 13(c), 14 and 15(d) of the Exchange Act (excluding any information furnished pursuant to Item 2.02 or Item 7.01 of any Current Report on Form 8-K and any corresponding exhibits thereto not filed with the SEC or pursuant to other applicable SEC rules) subsequent to the date of this registration statement and prior to the filing of a post-effective amendment that indicates that all securities offered have been sold or which deregisters all securities then remaining unsold, shall be deemed to be incorporated by reference herein and to be a part hereof from the date of filing of such documents.</w:t>
      </w:r>
    </w:p>
    <w:p>
      <w:pPr>
        <w:spacing w:after="0" w:line="142" w:lineRule="exact"/>
        <w:rPr>
          <w:rFonts w:ascii="Times New Roman" w:cs="Times New Roman" w:eastAsia="Times New Roman" w:hAnsi="Times New Roman"/>
          <w:sz w:val="14"/>
          <w:szCs w:val="14"/>
          <w:color w:val="0000EE"/>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Any statement contained in this registration statement or in a document incorporated or deemed to be incorporated herein by reference shall be deemed to be modified or superseded for purposes of this registration statement to the extent that a statement contained herein or in any document subsequently filed by Evergy Kansas Central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42" w:lineRule="exact"/>
        <w:rPr>
          <w:rFonts w:ascii="Times New Roman" w:cs="Times New Roman" w:eastAsia="Times New Roman" w:hAnsi="Times New Roman"/>
          <w:sz w:val="14"/>
          <w:szCs w:val="14"/>
          <w:color w:val="0000EE"/>
        </w:rPr>
      </w:pPr>
    </w:p>
    <w:p>
      <w:pPr>
        <w:ind w:left="1400" w:right="259" w:firstLine="340"/>
        <w:spacing w:after="0" w:line="273" w:lineRule="auto"/>
        <w:rPr>
          <w:sz w:val="20"/>
          <w:szCs w:val="20"/>
          <w:color w:val="auto"/>
        </w:rPr>
      </w:pPr>
      <w:r>
        <w:rPr>
          <w:rFonts w:ascii="Times New Roman" w:cs="Times New Roman" w:eastAsia="Times New Roman" w:hAnsi="Times New Roman"/>
          <w:sz w:val="13"/>
          <w:szCs w:val="13"/>
          <w:color w:val="auto"/>
        </w:rPr>
        <w:t>We, our parent company, Evergy, and another wholly-owned subsidiary of Evergy, Evergy Metro, separately file combined reports under the Exchange Act. However, the information contained in the combined reports relating solely to our parent and its subsidiaries (other than Evergy Kansas Central and its consolidated subsidiaries), including Evergy Missouri West, Inc., was separately filed by Evergy on its behalf, the information contained in the combined reports relating solely to Evergy Metro and its subsidiaries was separately filed by Evergy Metro on its behalf and the information contained in those combined reports relating solely to Evergy Kansas Central and its consolidated subsidiaries was separately filed by us. We do not intend to incorporate by reference into this prospectus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in the combined report. The only information you should rely upon in determining whether to invest in the securities offered hereby is the information of Evergy Kansas Central and its consolidated subsidiaries contained in this prospectus and any prospectus supplement, the information separately provided by Evergy Kansas Central and its consolidated subsidiaries in the documents incorporated by reference herein and therein and any free writing prospectus used in connection with the offering of securities described in this prospectus.</w:t>
      </w:r>
    </w:p>
    <w:p>
      <w:pPr>
        <w:spacing w:after="0" w:line="79" w:lineRule="exact"/>
        <w:rPr>
          <w:rFonts w:ascii="Times New Roman" w:cs="Times New Roman" w:eastAsia="Times New Roman" w:hAnsi="Times New Roman"/>
          <w:sz w:val="14"/>
          <w:szCs w:val="14"/>
          <w:color w:val="0000EE"/>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3"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We make available, free of charge, on or through our parent company’s website (www.evergy.com), which website is not incorporated herein,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 company’s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 785-575-8227), Attention: Corporate Secretary, or by contacting us on our parent company’s website.</w:t>
      </w:r>
    </w:p>
    <w:p>
      <w:pPr>
        <w:spacing w:after="0" w:line="147" w:lineRule="exact"/>
        <w:rPr>
          <w:sz w:val="20"/>
          <w:szCs w:val="20"/>
          <w:color w:val="auto"/>
        </w:rPr>
      </w:pPr>
    </w:p>
    <w:p>
      <w:pPr>
        <w:ind w:left="1400" w:right="579" w:firstLine="340"/>
        <w:spacing w:after="0" w:line="279" w:lineRule="auto"/>
        <w:rPr>
          <w:sz w:val="20"/>
          <w:szCs w:val="20"/>
          <w:color w:val="auto"/>
        </w:rPr>
      </w:pPr>
      <w:r>
        <w:rPr>
          <w:rFonts w:ascii="Times New Roman" w:cs="Times New Roman" w:eastAsia="Times New Roman" w:hAnsi="Times New Roman"/>
          <w:sz w:val="14"/>
          <w:szCs w:val="14"/>
          <w:color w:val="auto"/>
        </w:rPr>
        <w:t>Subject to the foregoing, all information appearing in this registration statement is qualified in its entirety by the information appearing in the documents incorporated by reference in this registration statement.</w:t>
      </w: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4"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193675</wp:posOffset>
            </wp:positionV>
            <wp:extent cx="540258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5402580" cy="1333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233680</wp:posOffset>
            </wp:positionV>
            <wp:extent cx="54025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5402580" cy="6350"/>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Evergy Kansas Central,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3075940</wp:posOffset>
            </wp:positionV>
            <wp:extent cx="540258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5402580" cy="6350"/>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3129280</wp:posOffset>
            </wp:positionV>
            <wp:extent cx="540258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5402580" cy="1333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type w:val="continuous"/>
        </w:sectPr>
      </w:pPr>
    </w:p>
    <w:bookmarkStart w:id="63" w:name="page64"/>
    <w:bookmarkEnd w:id="63"/>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5"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EVERGY KANSAS CENTRAL, INC.</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516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40" w:type="dxa"/>
            <w:vAlign w:val="bottom"/>
            <w:shd w:val="clear" w:color="auto" w:fill="9ADAF6"/>
          </w:tcPr>
          <w:p>
            <w:pPr>
              <w:jc w:val="right"/>
              <w:ind w:right="77"/>
              <w:spacing w:after="0" w:line="188"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40" w:type="dxa"/>
            <w:vAlign w:val="bottom"/>
            <w:shd w:val="clear" w:color="auto" w:fill="9ADAF6"/>
          </w:tcPr>
          <w:p>
            <w:pPr>
              <w:jc w:val="right"/>
              <w:spacing w:after="0" w:line="188"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117"/>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First</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7"/>
              </w:rPr>
              <w:t>Mortgage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Bonds,</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300,000,000</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$ 42,186.10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5.25%</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w w:val="98"/>
              </w:rPr>
              <w:t>305,475,000.00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Series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w w:val="98"/>
              </w:rPr>
              <w:t>due 2035</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9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$ 42,186.10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305,475,000.00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$ 42,186.10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7" w:lineRule="exact"/>
        <w:rPr>
          <w:sz w:val="20"/>
          <w:szCs w:val="20"/>
          <w:color w:val="auto"/>
        </w:rPr>
      </w:pPr>
    </w:p>
    <w:p>
      <w:pPr>
        <w:ind w:left="220" w:right="680" w:hanging="185"/>
        <w:spacing w:after="0" w:line="224" w:lineRule="auto"/>
        <w:tabs>
          <w:tab w:leader="none" w:pos="220" w:val="left"/>
        </w:tabs>
        <w:numPr>
          <w:ilvl w:val="0"/>
          <w:numId w:val="39"/>
        </w:numPr>
        <w:rPr>
          <w:rFonts w:ascii="Arial" w:cs="Arial" w:eastAsia="Arial" w:hAnsi="Arial"/>
          <w:sz w:val="21"/>
          <w:szCs w:val="21"/>
          <w:color w:val="auto"/>
          <w:vertAlign w:val="superscript"/>
        </w:rPr>
      </w:pPr>
      <w:r>
        <w:rPr>
          <w:rFonts w:ascii="Arial" w:cs="Arial" w:eastAsia="Arial" w:hAnsi="Arial"/>
          <w:sz w:val="17"/>
          <w:szCs w:val="17"/>
          <w:color w:val="auto"/>
        </w:rPr>
        <w:t>This "Calculation of Filing Fee Table" shall be deemed to update the "Calculation of Registration Fee" table in Registration Statement No. 333-281614-02. 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94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right"/>
              <w:ind w:right="117"/>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ind w:left="40"/>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jc w:val="center"/>
              <w:ind w:right="177"/>
              <w:spacing w:after="0" w:line="18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jc w:val="center"/>
              <w:ind w:right="37"/>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right"/>
              <w:spacing w:after="0" w:line="188" w:lineRule="exact"/>
              <w:rPr>
                <w:sz w:val="20"/>
                <w:szCs w:val="20"/>
                <w:color w:val="auto"/>
              </w:rPr>
            </w:pPr>
            <w:r>
              <w:rPr>
                <w:rFonts w:ascii="Arial" w:cs="Arial" w:eastAsia="Arial" w:hAnsi="Arial"/>
                <w:sz w:val="17"/>
                <w:szCs w:val="17"/>
                <w:b w:val="1"/>
                <w:bCs w:val="1"/>
                <w:color w:val="auto"/>
                <w:w w:val="87"/>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40" w:type="dxa"/>
            <w:vAlign w:val="bottom"/>
            <w:tcBorders>
              <w:right w:val="single" w:sz="8" w:color="9ADAF6"/>
            </w:tcBorders>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40" w:type="dxa"/>
            <w:vAlign w:val="bottom"/>
            <w:tcBorders>
              <w:right w:val="single" w:sz="8" w:color="9ADAF6"/>
            </w:tcBorders>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Borders>
              <w:right w:val="single" w:sz="8" w:color="E7E7E2"/>
            </w:tcBorders>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Borders>
              <w:right w:val="single" w:sz="8" w:color="E7E7E2"/>
            </w:tcBorders>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Borders>
              <w:right w:val="single" w:sz="8" w:color="E7E7E2"/>
            </w:tcBorders>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40" w:type="dxa"/>
            <w:vAlign w:val="bottom"/>
            <w:tcBorders>
              <w:right w:val="single" w:sz="8" w:color="E7E7E2"/>
            </w:tcBorders>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Borders>
              <w:right w:val="single" w:sz="8" w:color="E7E7E2"/>
            </w:tcBorders>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w w:val="98"/>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80"/>
              <w:spacing w:after="0" w:line="188"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218"/>
              <w:spacing w:after="0" w:line="188"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right w:val="single" w:sz="8" w:color="9ADAF6"/>
            </w:tcBorders>
            <w:gridSpan w:val="4"/>
            <w:vMerge w:val="restart"/>
            <w:shd w:val="clear" w:color="auto" w:fill="9ADAF6"/>
          </w:tcPr>
          <w:p>
            <w:pPr>
              <w:ind w:left="240"/>
              <w:spacing w:after="0" w:line="188" w:lineRule="exact"/>
              <w:rPr>
                <w:sz w:val="20"/>
                <w:szCs w:val="20"/>
                <w:color w:val="auto"/>
              </w:rPr>
            </w:pPr>
            <w:r>
              <w:rPr>
                <w:rFonts w:ascii="Arial" w:cs="Arial" w:eastAsia="Arial" w:hAnsi="Arial"/>
                <w:sz w:val="17"/>
                <w:szCs w:val="17"/>
                <w:b w:val="1"/>
                <w:bCs w:val="1"/>
                <w:color w:val="auto"/>
                <w:w w:val="93"/>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restart"/>
            <w:shd w:val="clear" w:color="auto" w:fill="9ADAF6"/>
          </w:tcPr>
          <w:p>
            <w:pPr>
              <w:ind w:left="640"/>
              <w:spacing w:after="0" w:line="188"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8"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right w:val="single" w:sz="8" w:color="9ADAF6"/>
            </w:tcBorders>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8" w:lineRule="exact"/>
              <w:rPr>
                <w:sz w:val="20"/>
                <w:szCs w:val="20"/>
                <w:color w:val="auto"/>
              </w:rPr>
            </w:pPr>
            <w:r>
              <w:rPr>
                <w:rFonts w:ascii="Arial" w:cs="Arial" w:eastAsia="Arial" w:hAnsi="Arial"/>
                <w:sz w:val="17"/>
                <w:szCs w:val="17"/>
                <w:b w:val="1"/>
                <w:bCs w:val="1"/>
                <w:color w:val="auto"/>
                <w:w w:val="97"/>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5"/>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218"/>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40" w:type="dxa"/>
            <w:vAlign w:val="bottom"/>
            <w:tcBorders>
              <w:right w:val="single" w:sz="8" w:color="E7E7E2"/>
            </w:tcBorders>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shd w:val="clear" w:color="auto" w:fill="E7E7E2"/>
          </w:tcPr>
          <w:p>
            <w:pPr>
              <w:spacing w:after="0"/>
              <w:rPr>
                <w:sz w:val="18"/>
                <w:szCs w:val="18"/>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Narrative Disclosure</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maximum aggregate offering price of the securities to which the prospectus relates is $305,475,000.00. The prospectus is a final prospectus for the</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360"/>
      </w:cols>
      <w:pgMar w:left="300" w:top="142" w:right="239" w:bottom="86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785"/>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0"/>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lvl w:ilvl="1">
      <w:lvlJc w:val="left"/>
      <w:lvlText w:val="(%2)"/>
      <w:numFmt w:val="upperLetter"/>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6"/>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Roman"/>
      <w:start w:val="1"/>
    </w:lvl>
    <w:lvl w:ilvl="1">
      <w:lvlJc w:val="left"/>
      <w:lvlText w:val="(%2)"/>
      <w:numFmt w:val="decimal"/>
      <w:start w:val="1"/>
    </w:lvl>
  </w:abstractNum>
  <w:abstractNum w:abstractNumId="35">
    <w:nsid w:val="7724C67E"/>
    <w:multiLevelType w:val="hybridMultilevel"/>
    <w:lvl w:ilvl="0">
      <w:lvlJc w:val="left"/>
      <w:lvlText w:val="(%1)"/>
      <w:numFmt w:val="lowerRoman"/>
      <w:start w:val="7"/>
    </w:lvl>
    <w:lvl w:ilvl="1">
      <w:lvlJc w:val="left"/>
      <w:lvlText w:val="%2"/>
      <w:numFmt w:val="decimal"/>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19" Type="http://schemas.openxmlformats.org/officeDocument/2006/relationships/hyperlink" Target="http://www.sec.gov/ix?doc=/Archives/edgar/data/54476/000171126925000004/evrg-20241231.htm" TargetMode="External"/><Relationship Id="rId20" Type="http://schemas.openxmlformats.org/officeDocument/2006/relationships/hyperlink" Target="http://www.sec.gov/ix?doc=/Archives/edgar/data/54476/000171126925000010/evrg-20250331.htm" TargetMode="External"/><Relationship Id="rId21" Type="http://schemas.openxmlformats.org/officeDocument/2006/relationships/hyperlink" Target="http://www.sec.gov/ix?doc=/Archives/edgar/data/54476/000171126925000022/evrg-20250630.htm" TargetMode="External"/><Relationship Id="rId22" Type="http://schemas.openxmlformats.org/officeDocument/2006/relationships/hyperlink" Target="http://www.sec.gov/ix?doc=/Archives/edgar/data/54476/000171126925000041/evrg-20250930.htm" TargetMode="External"/><Relationship Id="rId23" Type="http://schemas.openxmlformats.org/officeDocument/2006/relationships/hyperlink" Target="http://www.sec.gov/ix?doc=/Archives/edgar/data/54507/000119312525053956/d892895d8k.htm" TargetMode="External"/><Relationship Id="rId24" Type="http://schemas.openxmlformats.org/officeDocument/2006/relationships/hyperlink" Target="http://www.sec.gov/ix?doc=/Archives/edgar/data/54476/000119312525064798/d936056d8k.htm" TargetMode="External"/><Relationship Id="rId25" Type="http://schemas.openxmlformats.org/officeDocument/2006/relationships/hyperlink" Target="http://www.sec.gov/ix?doc=/Archives/edgar/data/54476/000119312525194473/d11088d8k.htm" TargetMode="External"/><Relationship Id="rId26" Type="http://schemas.openxmlformats.org/officeDocument/2006/relationships/hyperlink" Target="http://www.sec.gov/ix?doc=/Archives/edgar/data/54507/000119312525297242/d876740d8k.htm" TargetMode="External"/><Relationship Id="rId67" Type="http://schemas.openxmlformats.org/officeDocument/2006/relationships/hyperlink" Target="http://www.sec.gov/ix?doc=/Archives/edgar/data/54476/000171126924000007/evrg-20231231.htm" TargetMode="External"/><Relationship Id="rId68" Type="http://schemas.openxmlformats.org/officeDocument/2006/relationships/hyperlink" Target="http://www.sec.gov/ix?doc=/Archives/edgar/data/54476/000171126924000013/evrg-20240331.htm" TargetMode="External"/><Relationship Id="rId69" Type="http://schemas.openxmlformats.org/officeDocument/2006/relationships/hyperlink" Target="http://www.sec.gov/ix?doc=/Archives/edgar/data/54476/000171126924000027/evrg-20240630.htm" TargetMode="External"/><Relationship Id="rId90" Type="http://schemas.openxmlformats.org/officeDocument/2006/relationships/hyperlink" Target="http://www.sec.gov/ix?doc=/Archives/edgar/data/54476/000119312524157846/d81922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2025-12-02T15:43:27Z</dcterms:created>
  <dcterms:modified xsi:type="dcterms:W3CDTF">2025-12-02T15:43:27Z</dcterms:modified>
</cp:coreProperties>
</file>